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2E6FD" w14:textId="77777777" w:rsidR="00B119D2" w:rsidRPr="00B119D2" w:rsidRDefault="00B119D2" w:rsidP="00B119D2">
      <w:pPr>
        <w:rPr>
          <w:rFonts w:ascii="Arial" w:hAnsi="Arial" w:cs="Arial"/>
        </w:rPr>
      </w:pPr>
      <w:r w:rsidRPr="00B119D2">
        <w:rPr>
          <w:rFonts w:ascii="Arial" w:hAnsi="Arial" w:cs="Arial"/>
        </w:rPr>
        <w:t>INTRODUCCIÓN</w:t>
      </w:r>
    </w:p>
    <w:p w14:paraId="220EDA90" w14:textId="77777777" w:rsidR="00317961" w:rsidRDefault="00317961" w:rsidP="00B119D2">
      <w:pPr>
        <w:spacing w:line="360" w:lineRule="auto"/>
        <w:rPr>
          <w:rFonts w:ascii="Arial" w:hAnsi="Arial" w:cs="Arial"/>
          <w:sz w:val="24"/>
        </w:rPr>
      </w:pPr>
    </w:p>
    <w:p w14:paraId="58E44217" w14:textId="63327712" w:rsidR="00B119D2" w:rsidRPr="00B119D2" w:rsidRDefault="00B119D2" w:rsidP="007B7DFF">
      <w:pPr>
        <w:spacing w:line="360" w:lineRule="auto"/>
        <w:jc w:val="both"/>
        <w:rPr>
          <w:rFonts w:ascii="Arial" w:hAnsi="Arial" w:cs="Arial"/>
          <w:sz w:val="24"/>
        </w:rPr>
      </w:pPr>
      <w:r w:rsidRPr="00B119D2">
        <w:rPr>
          <w:rFonts w:ascii="Arial" w:hAnsi="Arial" w:cs="Arial"/>
          <w:sz w:val="24"/>
        </w:rPr>
        <w:t xml:space="preserve">La idea de trabajar sobre esta temática surge a partir de mi participación como tutor en la Universidad Nacional de la Matanza en los departamentos de Ingeniería en primer término, a comienzos del año 2006, circunstancia que hizo que participara desde el inicio de este . proceso y </w:t>
      </w:r>
      <w:r w:rsidR="00907089" w:rsidRPr="00B119D2">
        <w:rPr>
          <w:rFonts w:ascii="Arial" w:hAnsi="Arial" w:cs="Arial"/>
          <w:sz w:val="24"/>
        </w:rPr>
        <w:t>ver como</w:t>
      </w:r>
      <w:r w:rsidRPr="00B119D2">
        <w:rPr>
          <w:rFonts w:ascii="Arial" w:hAnsi="Arial" w:cs="Arial"/>
          <w:sz w:val="24"/>
        </w:rPr>
        <w:t xml:space="preserve"> evoluciono el proyecto en estos años. También el hecho de tener </w:t>
      </w:r>
      <w:r w:rsidR="00907089" w:rsidRPr="00B119D2">
        <w:rPr>
          <w:rFonts w:ascii="Arial" w:hAnsi="Arial" w:cs="Arial"/>
          <w:sz w:val="24"/>
        </w:rPr>
        <w:t>más</w:t>
      </w:r>
      <w:r w:rsidRPr="00B119D2">
        <w:rPr>
          <w:rFonts w:ascii="Arial" w:hAnsi="Arial" w:cs="Arial"/>
          <w:sz w:val="24"/>
        </w:rPr>
        <w:t xml:space="preserve"> de 20 años en la actividad docente en esta y otras Universidades hizo que me interesara la problemática de la adaptación del estudiante a la vida universitaria. También debo mencionar mi propia experiencia como estudiante en la UBA en la Carrera de Psicología 1en años de bastante turbulencia </w:t>
      </w:r>
    </w:p>
    <w:p w14:paraId="47C83F73"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1.1</w:t>
      </w:r>
      <w:r w:rsidRPr="00B119D2">
        <w:rPr>
          <w:rFonts w:ascii="Arial" w:hAnsi="Arial" w:cs="Arial"/>
          <w:sz w:val="24"/>
          <w:szCs w:val="24"/>
        </w:rPr>
        <w:tab/>
        <w:t xml:space="preserve">- Objetivo. </w:t>
      </w:r>
    </w:p>
    <w:p w14:paraId="68370979"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El objetivo del presente trabajo es el de obtener información respecto a la utilización de este recurso por parte de las universidades nacionales del conurbano bonaerense. Realizar un análisis histórico acerca de cómo se fueron implementando este servicio en las universidades arriba mencionados además de reflexionar acerca de las características generales sobre las distintas modalidades de tutorías</w:t>
      </w:r>
    </w:p>
    <w:p w14:paraId="227359F9"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1.2</w:t>
      </w:r>
      <w:r w:rsidRPr="00B119D2">
        <w:rPr>
          <w:rFonts w:ascii="Arial" w:hAnsi="Arial" w:cs="Arial"/>
          <w:sz w:val="24"/>
          <w:szCs w:val="24"/>
        </w:rPr>
        <w:tab/>
        <w:t xml:space="preserve">Metodología. </w:t>
      </w:r>
    </w:p>
    <w:p w14:paraId="3E4F7854" w14:textId="77777777" w:rsidR="00B119D2" w:rsidRPr="00B119D2" w:rsidRDefault="00B119D2" w:rsidP="007B7DFF">
      <w:pPr>
        <w:spacing w:line="360" w:lineRule="auto"/>
        <w:jc w:val="both"/>
        <w:rPr>
          <w:rFonts w:ascii="Arial" w:hAnsi="Arial" w:cs="Arial"/>
          <w:sz w:val="24"/>
          <w:szCs w:val="24"/>
        </w:rPr>
      </w:pPr>
    </w:p>
    <w:p w14:paraId="09C80450"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La metodología empleada para el desarrollo del presente trabajo es básicamente la investigación acerca de las circunstancias que dieron motivo a la aparición de este tipo de servicio universitario, su desarrollo y los desafíos futuros de los mismos. Esto implica recolectar información de primera mano con los responsables y actores del sistema de tutorías en las distintas universidades elegidas y de segunda mano a través de informes realizados, presentaciones en congresos y otros tipos de eventos similares.</w:t>
      </w:r>
    </w:p>
    <w:p w14:paraId="595A23B6" w14:textId="77777777" w:rsidR="00B119D2" w:rsidRPr="00B119D2" w:rsidRDefault="00B119D2" w:rsidP="007B7DFF">
      <w:pPr>
        <w:spacing w:line="360" w:lineRule="auto"/>
        <w:jc w:val="both"/>
        <w:rPr>
          <w:rFonts w:ascii="Arial" w:hAnsi="Arial" w:cs="Arial"/>
          <w:sz w:val="24"/>
          <w:szCs w:val="24"/>
        </w:rPr>
      </w:pPr>
    </w:p>
    <w:p w14:paraId="7218F539"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1.3 – Hipótesis</w:t>
      </w:r>
    </w:p>
    <w:p w14:paraId="4284926E"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lastRenderedPageBreak/>
        <w:t>Se pretende comprobar la hipótesis acerca de la identificación de las causas que generan la problemática de la falta de adaptación de los alumnos de los primeros años de la vida universitaria, y la adecuación y eficiencia de los sistemas de tutorías dentro de las Universidades del conurbano bonaerense</w:t>
      </w:r>
    </w:p>
    <w:p w14:paraId="72F25036"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La hipótesis de trabajo es la descripción de los sistemas de tutorias en distintas universidades del conurbano bonaerense y conocer el grado de adecuación de las mismas, a las problemáticas de la falta de adaptación a la vida universitaria de los alumnos que ingresan en la facultad en los primeros años del cursado de un carrera universitaria </w:t>
      </w:r>
    </w:p>
    <w:p w14:paraId="54FC280B" w14:textId="77777777" w:rsidR="00B119D2" w:rsidRPr="00B119D2" w:rsidRDefault="00B119D2" w:rsidP="007B7DFF">
      <w:pPr>
        <w:spacing w:line="360" w:lineRule="auto"/>
        <w:jc w:val="both"/>
        <w:rPr>
          <w:rFonts w:ascii="Arial" w:hAnsi="Arial" w:cs="Arial"/>
          <w:sz w:val="24"/>
          <w:szCs w:val="24"/>
        </w:rPr>
      </w:pPr>
    </w:p>
    <w:p w14:paraId="689914B8"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2. ANTECEDENTES. </w:t>
      </w:r>
    </w:p>
    <w:p w14:paraId="53BCD82B"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2.1 – Concepto de tutor</w:t>
      </w:r>
    </w:p>
    <w:p w14:paraId="0EBDD718"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El diccionario de la Real Academia Española brinda distintas acepciones a ese término</w:t>
      </w:r>
    </w:p>
    <w:p w14:paraId="23F175A8"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1.</w:t>
      </w:r>
      <w:r w:rsidRPr="00B119D2">
        <w:rPr>
          <w:rFonts w:ascii="Arial" w:hAnsi="Arial" w:cs="Arial"/>
          <w:sz w:val="24"/>
          <w:szCs w:val="24"/>
        </w:rPr>
        <w:tab/>
        <w:t>Persona que ejerce la tutela.</w:t>
      </w:r>
    </w:p>
    <w:p w14:paraId="013B81E1"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2.</w:t>
      </w:r>
      <w:r w:rsidRPr="00B119D2">
        <w:rPr>
          <w:rFonts w:ascii="Arial" w:hAnsi="Arial" w:cs="Arial"/>
          <w:sz w:val="24"/>
          <w:szCs w:val="24"/>
        </w:rPr>
        <w:tab/>
        <w:t>Persona encargada de orientar a los alumnos de un curso o asignatura.</w:t>
      </w:r>
    </w:p>
    <w:p w14:paraId="62F25207"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3.</w:t>
      </w:r>
      <w:r w:rsidRPr="00B119D2">
        <w:rPr>
          <w:rFonts w:ascii="Arial" w:hAnsi="Arial" w:cs="Arial"/>
          <w:sz w:val="24"/>
          <w:szCs w:val="24"/>
        </w:rPr>
        <w:tab/>
        <w:t>Defensor, protector o director en cualquier línea.</w:t>
      </w:r>
    </w:p>
    <w:p w14:paraId="0541C6B7"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4.</w:t>
      </w:r>
      <w:r w:rsidRPr="00B119D2">
        <w:rPr>
          <w:rFonts w:ascii="Arial" w:hAnsi="Arial" w:cs="Arial"/>
          <w:sz w:val="24"/>
          <w:szCs w:val="24"/>
        </w:rPr>
        <w:tab/>
        <w:t>Persona que ejerce las funciones señaladas por la legislación antigua al curador.</w:t>
      </w:r>
    </w:p>
    <w:p w14:paraId="47711633"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5.</w:t>
      </w:r>
      <w:r w:rsidRPr="00B119D2">
        <w:rPr>
          <w:rFonts w:ascii="Arial" w:hAnsi="Arial" w:cs="Arial"/>
          <w:sz w:val="24"/>
          <w:szCs w:val="24"/>
        </w:rPr>
        <w:tab/>
        <w:t>Profesor privado que se encargaba de la educación general de los hijos de una familia.</w:t>
      </w:r>
    </w:p>
    <w:p w14:paraId="586D7373"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6.</w:t>
      </w:r>
      <w:r w:rsidRPr="00B119D2">
        <w:rPr>
          <w:rFonts w:ascii="Arial" w:hAnsi="Arial" w:cs="Arial"/>
          <w:sz w:val="24"/>
          <w:szCs w:val="24"/>
        </w:rPr>
        <w:tab/>
        <w:t>Caña o estaca que se clava al pie de una planta para mantenerla derecha en su crecimiento.</w:t>
      </w:r>
    </w:p>
    <w:p w14:paraId="79F2E335"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En todos los casos el concepto remite a una función de orientador y cuidado  que ejerce una persona sobre otra que requiere de dicho servicio. Figura que la ultima acepción de esta palabra está relacionada con el cuidado o protección que necesita una planta en su periodo de crecimiento para que alcance un estado de normalidad.</w:t>
      </w:r>
    </w:p>
    <w:p w14:paraId="76035FB0"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lastRenderedPageBreak/>
        <w:t>Por lo tanto esta función puede cumplirse en distintas circunstancia y ámbitos, y es una función que se cumple y se viene cumpliendo desde la antigüedad, con este nombre “tutor” o con otras denominaciones</w:t>
      </w:r>
    </w:p>
    <w:p w14:paraId="7A7AD174"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Generalmente están ligados a la función educativa o de aprendizaje como los siguientes términos: </w:t>
      </w:r>
    </w:p>
    <w:p w14:paraId="54C24C58" w14:textId="77777777" w:rsidR="00B119D2" w:rsidRPr="00B119D2" w:rsidRDefault="00B119D2" w:rsidP="007B7DFF">
      <w:pPr>
        <w:spacing w:line="360" w:lineRule="auto"/>
        <w:jc w:val="both"/>
        <w:rPr>
          <w:rFonts w:ascii="Arial" w:hAnsi="Arial" w:cs="Arial"/>
          <w:sz w:val="24"/>
          <w:szCs w:val="24"/>
        </w:rPr>
      </w:pPr>
    </w:p>
    <w:p w14:paraId="3CF7B9E4" w14:textId="5AA695C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Ayo: ( guardia).</w:t>
      </w:r>
    </w:p>
    <w:p w14:paraId="06A32537"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 Persona encargada en las casas principales de custodiar niños o jóvenes y de cuidar de su crianza y educación.</w:t>
      </w:r>
    </w:p>
    <w:p w14:paraId="3BD76A19" w14:textId="275E6F8E"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Este término en general durante la antigüedad y durante la edad media se lo denominaba a </w:t>
      </w:r>
      <w:r w:rsidR="00BB0EFD" w:rsidRPr="00B119D2">
        <w:rPr>
          <w:rFonts w:ascii="Arial" w:hAnsi="Arial" w:cs="Arial"/>
          <w:sz w:val="24"/>
          <w:szCs w:val="24"/>
        </w:rPr>
        <w:t>aquellos que</w:t>
      </w:r>
      <w:r w:rsidRPr="00B119D2">
        <w:rPr>
          <w:rFonts w:ascii="Arial" w:hAnsi="Arial" w:cs="Arial"/>
          <w:sz w:val="24"/>
          <w:szCs w:val="24"/>
        </w:rPr>
        <w:t xml:space="preserve"> servían a familia de nobles en relación a la formación de sus hijos</w:t>
      </w:r>
    </w:p>
    <w:p w14:paraId="520E26FC" w14:textId="77777777" w:rsidR="00B119D2" w:rsidRPr="00B119D2" w:rsidRDefault="00B119D2" w:rsidP="007B7DFF">
      <w:pPr>
        <w:spacing w:line="360" w:lineRule="auto"/>
        <w:jc w:val="both"/>
        <w:rPr>
          <w:rFonts w:ascii="Arial" w:hAnsi="Arial" w:cs="Arial"/>
          <w:sz w:val="24"/>
          <w:szCs w:val="24"/>
        </w:rPr>
      </w:pPr>
    </w:p>
    <w:p w14:paraId="03FA6C97"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 Preceptor: </w:t>
      </w:r>
    </w:p>
    <w:p w14:paraId="39248491"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El concepto en este caso es similar al de docente ya que se define como persona que enseña, este concepto se sigue usando dentro del ámbito educativo</w:t>
      </w:r>
    </w:p>
    <w:p w14:paraId="48FE92DB"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También podemos mencionar los términos de orientador, o mentor, todos ligados a la experiencia de aprendizaje.</w:t>
      </w:r>
    </w:p>
    <w:p w14:paraId="6954AFC7" w14:textId="77777777" w:rsidR="00B119D2" w:rsidRPr="00B119D2" w:rsidRDefault="00B119D2" w:rsidP="007B7DFF">
      <w:pPr>
        <w:spacing w:line="360" w:lineRule="auto"/>
        <w:jc w:val="both"/>
        <w:rPr>
          <w:rFonts w:ascii="Arial" w:hAnsi="Arial" w:cs="Arial"/>
          <w:sz w:val="24"/>
          <w:szCs w:val="24"/>
        </w:rPr>
      </w:pPr>
    </w:p>
    <w:p w14:paraId="70E8456C"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2.2 –Las tutorías en la vida universitaria</w:t>
      </w:r>
    </w:p>
    <w:p w14:paraId="19BC422A" w14:textId="77777777" w:rsidR="00B119D2" w:rsidRPr="00B119D2" w:rsidRDefault="00B119D2" w:rsidP="007B7DFF">
      <w:pPr>
        <w:spacing w:line="360" w:lineRule="auto"/>
        <w:jc w:val="both"/>
        <w:rPr>
          <w:rFonts w:ascii="Arial" w:hAnsi="Arial" w:cs="Arial"/>
          <w:sz w:val="24"/>
          <w:szCs w:val="24"/>
        </w:rPr>
      </w:pPr>
    </w:p>
    <w:p w14:paraId="6642F788" w14:textId="77777777" w:rsidR="00B119D2" w:rsidRPr="00B119D2" w:rsidRDefault="00B119D2" w:rsidP="007B7DFF">
      <w:pPr>
        <w:spacing w:line="360" w:lineRule="auto"/>
        <w:jc w:val="both"/>
        <w:rPr>
          <w:rFonts w:ascii="Arial" w:hAnsi="Arial" w:cs="Arial"/>
          <w:sz w:val="24"/>
          <w:szCs w:val="24"/>
        </w:rPr>
      </w:pPr>
    </w:p>
    <w:p w14:paraId="321F180A"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2.2.1 Definición general </w:t>
      </w:r>
    </w:p>
    <w:p w14:paraId="6DEA063B" w14:textId="77777777" w:rsidR="00B119D2" w:rsidRPr="00B119D2" w:rsidRDefault="00B119D2" w:rsidP="007B7DFF">
      <w:pPr>
        <w:spacing w:line="360" w:lineRule="auto"/>
        <w:jc w:val="both"/>
        <w:rPr>
          <w:rFonts w:ascii="Arial" w:hAnsi="Arial" w:cs="Arial"/>
          <w:sz w:val="24"/>
          <w:szCs w:val="24"/>
        </w:rPr>
      </w:pPr>
    </w:p>
    <w:p w14:paraId="45FDF407" w14:textId="77777777" w:rsidR="00B119D2" w:rsidRPr="00B119D2" w:rsidRDefault="00B119D2" w:rsidP="007B7DFF">
      <w:pPr>
        <w:spacing w:line="360" w:lineRule="auto"/>
        <w:jc w:val="both"/>
        <w:rPr>
          <w:rFonts w:ascii="Arial" w:hAnsi="Arial" w:cs="Arial"/>
          <w:sz w:val="24"/>
          <w:szCs w:val="24"/>
        </w:rPr>
      </w:pPr>
    </w:p>
    <w:p w14:paraId="3A878E47"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La tutoría es una actividad pedagógica que tiene como propósito orientar y apoyar a los alumnos durante su proceso de formación. Es una actividad </w:t>
      </w:r>
      <w:r w:rsidRPr="00B119D2">
        <w:rPr>
          <w:rFonts w:ascii="Arial" w:hAnsi="Arial" w:cs="Arial"/>
          <w:sz w:val="24"/>
          <w:szCs w:val="24"/>
        </w:rPr>
        <w:lastRenderedPageBreak/>
        <w:t xml:space="preserve">complementaria a las tareas del docente. La tutoría es una acción, cuya importancia radica en orientar a los alumnos a partir del conocimiento de sus problemas y necesidades académicos, así como de sus inquietudes, y aspiraciones profesionales. Esta actividad también se define como una tarea que se realiza en las instituciones educativas para ofrecer una educación compensatoria o remediadora a los alumnos que afrontan dificultades académicas (ANUIES, 2001). </w:t>
      </w:r>
    </w:p>
    <w:p w14:paraId="7D6A1C8C" w14:textId="77777777" w:rsidR="00B119D2" w:rsidRPr="00B119D2" w:rsidRDefault="00B119D2" w:rsidP="007B7DFF">
      <w:pPr>
        <w:spacing w:line="360" w:lineRule="auto"/>
        <w:jc w:val="both"/>
        <w:rPr>
          <w:rFonts w:ascii="Arial" w:hAnsi="Arial" w:cs="Arial"/>
          <w:sz w:val="24"/>
          <w:szCs w:val="24"/>
        </w:rPr>
      </w:pPr>
    </w:p>
    <w:p w14:paraId="6AD61022" w14:textId="77777777" w:rsidR="00B119D2" w:rsidRPr="00B119D2" w:rsidRDefault="00B119D2" w:rsidP="007B7DFF">
      <w:pPr>
        <w:spacing w:line="360" w:lineRule="auto"/>
        <w:jc w:val="both"/>
        <w:rPr>
          <w:rFonts w:ascii="Arial" w:hAnsi="Arial" w:cs="Arial"/>
          <w:sz w:val="24"/>
          <w:szCs w:val="24"/>
        </w:rPr>
      </w:pPr>
    </w:p>
    <w:p w14:paraId="3135CA22"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2.2.2Modalidades de la tutoría </w:t>
      </w:r>
    </w:p>
    <w:p w14:paraId="779855D6" w14:textId="77777777" w:rsidR="00B119D2" w:rsidRPr="00B119D2" w:rsidRDefault="00B119D2" w:rsidP="007B7DFF">
      <w:pPr>
        <w:spacing w:line="360" w:lineRule="auto"/>
        <w:jc w:val="both"/>
        <w:rPr>
          <w:rFonts w:ascii="Arial" w:hAnsi="Arial" w:cs="Arial"/>
          <w:sz w:val="24"/>
          <w:szCs w:val="24"/>
        </w:rPr>
      </w:pPr>
    </w:p>
    <w:p w14:paraId="2A21EAA1"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a)</w:t>
      </w:r>
      <w:r w:rsidRPr="00B119D2">
        <w:rPr>
          <w:rFonts w:ascii="Arial" w:hAnsi="Arial" w:cs="Arial"/>
          <w:sz w:val="24"/>
          <w:szCs w:val="24"/>
        </w:rPr>
        <w:tab/>
        <w:t xml:space="preserve">La función tutorial académica, que interpreta la tutoría como una dedicación estrictamente ceñida al ámbito científico y académico: como una asesoría respecto al contenido del programa, orientación sobre trabajos, facilitación de fuentes bibliográficas y documentales.  </w:t>
      </w:r>
    </w:p>
    <w:p w14:paraId="7232EDF0"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b)</w:t>
      </w:r>
      <w:r w:rsidRPr="00B119D2">
        <w:rPr>
          <w:rFonts w:ascii="Arial" w:hAnsi="Arial" w:cs="Arial"/>
          <w:sz w:val="24"/>
          <w:szCs w:val="24"/>
        </w:rPr>
        <w:tab/>
        <w:t>La función tutorial docente, que asume la tutoría como una modalidad de la docencia. El trabajo mediante Seminarios, la preparación y el seguimiento de las Prácticas de un grupo de alumnos, son diversas formas de desarrollar esta dimensión docente.</w:t>
      </w:r>
    </w:p>
    <w:p w14:paraId="26DF0D05" w14:textId="751A7DF6"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c)</w:t>
      </w:r>
      <w:r w:rsidRPr="00B119D2">
        <w:rPr>
          <w:rFonts w:ascii="Arial" w:hAnsi="Arial" w:cs="Arial"/>
          <w:sz w:val="24"/>
          <w:szCs w:val="24"/>
        </w:rPr>
        <w:tab/>
        <w:t xml:space="preserve">La tutoría entre iguales o “peer tutoring”, o </w:t>
      </w:r>
      <w:r w:rsidR="00BB0EFD" w:rsidRPr="00B119D2">
        <w:rPr>
          <w:rFonts w:ascii="Arial" w:hAnsi="Arial" w:cs="Arial"/>
          <w:sz w:val="24"/>
          <w:szCs w:val="24"/>
        </w:rPr>
        <w:t>tutoría</w:t>
      </w:r>
      <w:r w:rsidRPr="00B119D2">
        <w:rPr>
          <w:rFonts w:ascii="Arial" w:hAnsi="Arial" w:cs="Arial"/>
          <w:sz w:val="24"/>
          <w:szCs w:val="24"/>
        </w:rPr>
        <w:t xml:space="preserve">  de o entre pares.</w:t>
      </w:r>
    </w:p>
    <w:p w14:paraId="560343F8"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d)</w:t>
      </w:r>
      <w:r w:rsidRPr="00B119D2">
        <w:rPr>
          <w:rFonts w:ascii="Arial" w:hAnsi="Arial" w:cs="Arial"/>
          <w:sz w:val="24"/>
          <w:szCs w:val="24"/>
        </w:rPr>
        <w:tab/>
        <w:t>La tutoría personalizada, en la que el alumno demanda ayuda al profesor tutor, relativa al ámbito personal o al campo profesional.</w:t>
      </w:r>
    </w:p>
    <w:p w14:paraId="5653620D"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e)</w:t>
      </w:r>
      <w:r w:rsidRPr="00B119D2">
        <w:rPr>
          <w:rFonts w:ascii="Arial" w:hAnsi="Arial" w:cs="Arial"/>
          <w:sz w:val="24"/>
          <w:szCs w:val="24"/>
        </w:rPr>
        <w:tab/>
        <w:t xml:space="preserve">La tutoría colegiada cuando se plantea desde un grupo de profesores universitarios que brinda su ayuda al colectivo de alumnos y hace un seguimiento a partir de los grupos constituidos. </w:t>
      </w:r>
    </w:p>
    <w:p w14:paraId="57E56835"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f)</w:t>
      </w:r>
      <w:r w:rsidRPr="00B119D2">
        <w:rPr>
          <w:rFonts w:ascii="Arial" w:hAnsi="Arial" w:cs="Arial"/>
          <w:sz w:val="24"/>
          <w:szCs w:val="24"/>
        </w:rPr>
        <w:tab/>
        <w:t xml:space="preserve">La tutoría virtual, que se apoya en un entorno formativo a distancia capaz de diversificar las fuentes del conocimiento y de proporcionar una ayuda al alumno. </w:t>
      </w:r>
    </w:p>
    <w:p w14:paraId="16DBB124" w14:textId="77777777" w:rsidR="00B119D2" w:rsidRPr="00B119D2" w:rsidRDefault="00B119D2" w:rsidP="007B7DFF">
      <w:pPr>
        <w:spacing w:line="360" w:lineRule="auto"/>
        <w:jc w:val="both"/>
        <w:rPr>
          <w:rFonts w:ascii="Arial" w:hAnsi="Arial" w:cs="Arial"/>
          <w:sz w:val="24"/>
          <w:szCs w:val="24"/>
        </w:rPr>
      </w:pPr>
    </w:p>
    <w:p w14:paraId="05277D89" w14:textId="77777777" w:rsidR="00B119D2" w:rsidRPr="00B119D2" w:rsidRDefault="00B119D2" w:rsidP="007B7DFF">
      <w:pPr>
        <w:spacing w:line="360" w:lineRule="auto"/>
        <w:jc w:val="both"/>
        <w:rPr>
          <w:rFonts w:ascii="Arial" w:hAnsi="Arial" w:cs="Arial"/>
          <w:sz w:val="24"/>
          <w:szCs w:val="24"/>
        </w:rPr>
      </w:pPr>
    </w:p>
    <w:p w14:paraId="5707A0DF"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2.2.3</w:t>
      </w:r>
      <w:r w:rsidRPr="00B119D2">
        <w:rPr>
          <w:rFonts w:ascii="Arial" w:hAnsi="Arial" w:cs="Arial"/>
          <w:sz w:val="24"/>
          <w:szCs w:val="24"/>
        </w:rPr>
        <w:tab/>
        <w:t>Objetivos de la Tutoría</w:t>
      </w:r>
    </w:p>
    <w:p w14:paraId="5AB37C60" w14:textId="77777777" w:rsidR="00B119D2" w:rsidRPr="00B119D2" w:rsidRDefault="00B119D2" w:rsidP="007B7DFF">
      <w:pPr>
        <w:spacing w:line="360" w:lineRule="auto"/>
        <w:jc w:val="both"/>
        <w:rPr>
          <w:rFonts w:ascii="Arial" w:hAnsi="Arial" w:cs="Arial"/>
          <w:sz w:val="24"/>
          <w:szCs w:val="24"/>
        </w:rPr>
      </w:pPr>
    </w:p>
    <w:p w14:paraId="32B76843" w14:textId="77777777" w:rsidR="00B119D2" w:rsidRPr="00B119D2" w:rsidRDefault="00B119D2" w:rsidP="007B7DFF">
      <w:pPr>
        <w:spacing w:line="360" w:lineRule="auto"/>
        <w:jc w:val="both"/>
        <w:rPr>
          <w:rFonts w:ascii="Arial" w:hAnsi="Arial" w:cs="Arial"/>
          <w:sz w:val="24"/>
          <w:szCs w:val="24"/>
        </w:rPr>
      </w:pPr>
    </w:p>
    <w:p w14:paraId="41278FB5"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w:t>
      </w:r>
      <w:r w:rsidRPr="00B119D2">
        <w:rPr>
          <w:rFonts w:ascii="Arial" w:hAnsi="Arial" w:cs="Arial"/>
          <w:sz w:val="24"/>
          <w:szCs w:val="24"/>
        </w:rPr>
        <w:tab/>
        <w:t xml:space="preserve">Determinar etapas críticas en el aprendizaje que reclaman mayor asistencia, asignando un tutor que estimule la persistencia y desaliente el abandono monitoreando las tareas; que combine las actividades tutoriales con el contacto con los docentes a cargo del curso e informe al estudiante en la etapa inicial en qué consiste el programa; </w:t>
      </w:r>
    </w:p>
    <w:p w14:paraId="25C0E387"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w:t>
      </w:r>
      <w:r w:rsidRPr="00B119D2">
        <w:rPr>
          <w:rFonts w:ascii="Arial" w:hAnsi="Arial" w:cs="Arial"/>
          <w:sz w:val="24"/>
          <w:szCs w:val="24"/>
        </w:rPr>
        <w:tab/>
        <w:t xml:space="preserve">Comunicar al estudiante el grado de progreso hacia el logro de las metas fijadas; </w:t>
      </w:r>
    </w:p>
    <w:p w14:paraId="73E58489"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w:t>
      </w:r>
      <w:r w:rsidRPr="00B119D2">
        <w:rPr>
          <w:rFonts w:ascii="Arial" w:hAnsi="Arial" w:cs="Arial"/>
          <w:sz w:val="24"/>
          <w:szCs w:val="24"/>
        </w:rPr>
        <w:tab/>
        <w:t>Favorecer la retención de aspectos sustanciales o significativos del curso</w:t>
      </w:r>
    </w:p>
    <w:p w14:paraId="471A7B72"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w:t>
      </w:r>
      <w:r w:rsidRPr="00B119D2">
        <w:rPr>
          <w:rFonts w:ascii="Arial" w:hAnsi="Arial" w:cs="Arial"/>
          <w:sz w:val="24"/>
          <w:szCs w:val="24"/>
        </w:rPr>
        <w:tab/>
        <w:t>Preparar al alumno para cursos subsiguientes</w:t>
      </w:r>
    </w:p>
    <w:p w14:paraId="5DFEB208"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w:t>
      </w:r>
      <w:r w:rsidRPr="00B119D2">
        <w:rPr>
          <w:rFonts w:ascii="Arial" w:hAnsi="Arial" w:cs="Arial"/>
          <w:sz w:val="24"/>
          <w:szCs w:val="24"/>
        </w:rPr>
        <w:tab/>
        <w:t xml:space="preserve">Respetar la diversidad de los estudiantes y de este modo disminuir el desgranamiento o deserción; </w:t>
      </w:r>
    </w:p>
    <w:p w14:paraId="0F00D325"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w:t>
      </w:r>
      <w:r w:rsidRPr="00B119D2">
        <w:rPr>
          <w:rFonts w:ascii="Arial" w:hAnsi="Arial" w:cs="Arial"/>
          <w:sz w:val="24"/>
          <w:szCs w:val="24"/>
        </w:rPr>
        <w:tab/>
        <w:t>Desarrollar la cooperación y colaboración en el aprendizaje entre pares;</w:t>
      </w:r>
    </w:p>
    <w:p w14:paraId="2DB0FE0C"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w:t>
      </w:r>
      <w:r w:rsidRPr="00B119D2">
        <w:rPr>
          <w:rFonts w:ascii="Arial" w:hAnsi="Arial" w:cs="Arial"/>
          <w:sz w:val="24"/>
          <w:szCs w:val="24"/>
        </w:rPr>
        <w:tab/>
        <w:t>Crear una atmósfera propicia para el estudio.</w:t>
      </w:r>
    </w:p>
    <w:p w14:paraId="7A0ED066" w14:textId="77777777" w:rsidR="00B119D2" w:rsidRPr="00B119D2" w:rsidRDefault="00B119D2" w:rsidP="007B7DFF">
      <w:pPr>
        <w:spacing w:line="360" w:lineRule="auto"/>
        <w:jc w:val="both"/>
        <w:rPr>
          <w:rFonts w:ascii="Arial" w:hAnsi="Arial" w:cs="Arial"/>
          <w:sz w:val="24"/>
          <w:szCs w:val="24"/>
        </w:rPr>
      </w:pPr>
    </w:p>
    <w:p w14:paraId="255DC22E" w14:textId="77777777" w:rsidR="00B119D2" w:rsidRPr="00B119D2" w:rsidRDefault="00B119D2" w:rsidP="007B7DFF">
      <w:pPr>
        <w:spacing w:line="360" w:lineRule="auto"/>
        <w:jc w:val="both"/>
        <w:rPr>
          <w:rFonts w:ascii="Arial" w:hAnsi="Arial" w:cs="Arial"/>
          <w:sz w:val="24"/>
          <w:szCs w:val="24"/>
        </w:rPr>
      </w:pPr>
    </w:p>
    <w:p w14:paraId="18EF328F"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La intención de este trabajo como se ha mencionado es la centrarse en la función del tutor en la vida universitaria</w:t>
      </w:r>
    </w:p>
    <w:p w14:paraId="2B73553E"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Aspectos históricos</w:t>
      </w:r>
    </w:p>
    <w:p w14:paraId="0299F555"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Desde que existe la Universidad en la Edad media existe el rol del profesor tutor, En sus comienzos en el siglo XI , las primeras universidades la figura del tutor se funde con la función del profesor buscando  formar alumnos de una forma integral tanto a nivel de conocimientos como el desarrollo de su personalidad.</w:t>
      </w:r>
    </w:p>
    <w:p w14:paraId="67656E21"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lastRenderedPageBreak/>
        <w:t>El profesor podía ocuparse solamente de un número pequeño de alumnos. Con la llegada de la Universidad Napoleónica, el tutor toma un perfil más burocrático donde tiene que atender un número mayor de alumnos que buscan obtener un título profesional e insertarse en la sociedad.</w:t>
      </w:r>
    </w:p>
    <w:p w14:paraId="393EE74B"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 Con mayor evidencia en la Universidades Inglesas es donde existe una tradición definida  en este sentido en donde se persigue la una educación individualizada.</w:t>
      </w:r>
    </w:p>
    <w:p w14:paraId="3D3C0A07"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La atención de este trabajo se centrará los antecedentes más recientes en las Universidades Europeas y Americanas en forma muy general como contexto, pero ubicándonos especialmente en este caso en la Universidades Argentinas en la actualidad. </w:t>
      </w:r>
    </w:p>
    <w:p w14:paraId="435989F5"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Tipología de Universidades</w:t>
      </w:r>
    </w:p>
    <w:p w14:paraId="5D0E468E"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Los modelos que se mantienen vigentes en la actualidad en el ámbito universitario pueden ubicarse como su origen durante los siglos 18 y 19</w:t>
      </w:r>
    </w:p>
    <w:p w14:paraId="07B5AB87"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Durante esta época, con mayor precisión en el siglo 19 En Europa y en América se perfilan tres modelos o modalidad de Universidad. </w:t>
      </w:r>
    </w:p>
    <w:p w14:paraId="5F8209C5"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w:t>
      </w:r>
      <w:r w:rsidRPr="00B119D2">
        <w:rPr>
          <w:rFonts w:ascii="Arial" w:hAnsi="Arial" w:cs="Arial"/>
          <w:sz w:val="24"/>
          <w:szCs w:val="24"/>
        </w:rPr>
        <w:tab/>
        <w:t>La Universidad Napoleónica orientada a la generación de profesionales.</w:t>
      </w:r>
    </w:p>
    <w:p w14:paraId="1ABDBF75"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w:t>
      </w:r>
      <w:r w:rsidRPr="00B119D2">
        <w:rPr>
          <w:rFonts w:ascii="Arial" w:hAnsi="Arial" w:cs="Arial"/>
          <w:sz w:val="24"/>
          <w:szCs w:val="24"/>
        </w:rPr>
        <w:tab/>
        <w:t xml:space="preserve">La Universidad Humboldtiana de origen Alemana orientada a la investigación en ciencias naturales  </w:t>
      </w:r>
    </w:p>
    <w:p w14:paraId="7C66ACC3"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w:t>
      </w:r>
      <w:r w:rsidRPr="00B119D2">
        <w:rPr>
          <w:rFonts w:ascii="Arial" w:hAnsi="Arial" w:cs="Arial"/>
          <w:sz w:val="24"/>
          <w:szCs w:val="24"/>
        </w:rPr>
        <w:tab/>
        <w:t>La Universidad Inglesa orientada a la formación de futuros dirigentes políticos de la Administración del estado o de las organizaciones.</w:t>
      </w:r>
    </w:p>
    <w:p w14:paraId="09FEBD10" w14:textId="77777777" w:rsidR="00B119D2" w:rsidRPr="00B119D2" w:rsidRDefault="00B119D2" w:rsidP="007B7DFF">
      <w:pPr>
        <w:spacing w:line="360" w:lineRule="auto"/>
        <w:jc w:val="both"/>
        <w:rPr>
          <w:rFonts w:ascii="Arial" w:hAnsi="Arial" w:cs="Arial"/>
          <w:sz w:val="24"/>
          <w:szCs w:val="24"/>
        </w:rPr>
      </w:pPr>
    </w:p>
    <w:p w14:paraId="0CA7CAFC" w14:textId="474860E3"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El modelo Humboldtiana pretende que la universidad sea el lugar de la generación de la ciencia más </w:t>
      </w:r>
      <w:r w:rsidR="00BB0EFD" w:rsidRPr="00B119D2">
        <w:rPr>
          <w:rFonts w:ascii="Arial" w:hAnsi="Arial" w:cs="Arial"/>
          <w:sz w:val="24"/>
          <w:szCs w:val="24"/>
        </w:rPr>
        <w:t>que la</w:t>
      </w:r>
      <w:r w:rsidRPr="00B119D2">
        <w:rPr>
          <w:rFonts w:ascii="Arial" w:hAnsi="Arial" w:cs="Arial"/>
          <w:sz w:val="24"/>
          <w:szCs w:val="24"/>
        </w:rPr>
        <w:t xml:space="preserve"> de formación de profesionales. Este modelo lleva el nombre de quien fundó la Universidad de Berlín en </w:t>
      </w:r>
      <w:r w:rsidR="00BB0EFD" w:rsidRPr="00B119D2">
        <w:rPr>
          <w:rFonts w:ascii="Arial" w:hAnsi="Arial" w:cs="Arial"/>
          <w:sz w:val="24"/>
          <w:szCs w:val="24"/>
        </w:rPr>
        <w:t>1810 Wilhelm</w:t>
      </w:r>
      <w:r w:rsidRPr="00B119D2">
        <w:rPr>
          <w:rFonts w:ascii="Arial" w:hAnsi="Arial" w:cs="Arial"/>
          <w:sz w:val="24"/>
          <w:szCs w:val="24"/>
        </w:rPr>
        <w:t xml:space="preserve"> von Humboldt. Actualmente dicha universidad lleva su nombre.</w:t>
      </w:r>
    </w:p>
    <w:p w14:paraId="1C22D38E" w14:textId="25659EFD"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En este tipo de universidad se buscaba un perfil de docente que motive a los alumnos a buscar la verdad , a través de la observación y experimentación fundamentos de la metodología de las ciencias .  Durante el siglo 19 tuvo su </w:t>
      </w:r>
      <w:r w:rsidR="00877260" w:rsidRPr="00B119D2">
        <w:rPr>
          <w:rFonts w:ascii="Arial" w:hAnsi="Arial" w:cs="Arial"/>
          <w:sz w:val="24"/>
          <w:szCs w:val="24"/>
        </w:rPr>
        <w:lastRenderedPageBreak/>
        <w:t>réplica</w:t>
      </w:r>
      <w:r w:rsidRPr="00B119D2">
        <w:rPr>
          <w:rFonts w:ascii="Arial" w:hAnsi="Arial" w:cs="Arial"/>
          <w:sz w:val="24"/>
          <w:szCs w:val="24"/>
        </w:rPr>
        <w:t xml:space="preserve"> en los Estados Unidos, en función de profesores norteamericanos que fueron a estudiar a Alemania para obtener el grado de PhD. </w:t>
      </w:r>
    </w:p>
    <w:p w14:paraId="7F1AB64A"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Las principales actividades de los estudiantes son asistir a las sesiones de sus cursos, estudiar en la biblioteca, leer, escribir, participar en los seminarios y discutir el trabajo con su tutor.</w:t>
      </w:r>
    </w:p>
    <w:p w14:paraId="3ED02E91"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La actividad central del sistema tutorial inglés (tutoring) es el trabajo escrito (essay), que el tutor propone al estudiante a fin de desarrollar su capacidad crítica, aunque también es importante la interacción que se da con otros compañeros en el desarrollo de diversas actividades académicas.</w:t>
      </w:r>
    </w:p>
    <w:p w14:paraId="539749EA" w14:textId="14E4805B"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También en forma contemporánea en EE UU más allá del antiquísimo y permanente modelo global tutorial de universidades como Oxford o Cambridge, aparece la fecha de 1841, ligada al Kenyon College , como una de las primeras iniciativas de tutoría universitaria: donde  cada estudiante podía elegir a un profesor como advisor y amigo, siendo esta  institución la </w:t>
      </w:r>
      <w:r w:rsidR="00877260" w:rsidRPr="00B119D2">
        <w:rPr>
          <w:rFonts w:ascii="Arial" w:hAnsi="Arial" w:cs="Arial"/>
          <w:sz w:val="24"/>
          <w:szCs w:val="24"/>
        </w:rPr>
        <w:t>más</w:t>
      </w:r>
      <w:r w:rsidRPr="00B119D2">
        <w:rPr>
          <w:rFonts w:ascii="Arial" w:hAnsi="Arial" w:cs="Arial"/>
          <w:sz w:val="24"/>
          <w:szCs w:val="24"/>
        </w:rPr>
        <w:t xml:space="preserve"> antigua institución privada del Estado de Ohio (USA) fundada por el o</w:t>
      </w:r>
      <w:r w:rsidR="00877260">
        <w:rPr>
          <w:rFonts w:ascii="Arial" w:hAnsi="Arial" w:cs="Arial"/>
          <w:sz w:val="24"/>
          <w:szCs w:val="24"/>
        </w:rPr>
        <w:t>bispo</w:t>
      </w:r>
      <w:r w:rsidRPr="00B119D2">
        <w:rPr>
          <w:rFonts w:ascii="Arial" w:hAnsi="Arial" w:cs="Arial"/>
          <w:sz w:val="24"/>
          <w:szCs w:val="24"/>
        </w:rPr>
        <w:t xml:space="preserve"> episcopal, Philander Chase,  con fondos de filántropos americanos y británicos como Lord Kenyon. Institución de élite caracterizada por una “</w:t>
      </w:r>
      <w:r w:rsidR="00CD03B6" w:rsidRPr="00B119D2">
        <w:rPr>
          <w:rFonts w:ascii="Arial" w:hAnsi="Arial" w:cs="Arial"/>
          <w:sz w:val="24"/>
          <w:szCs w:val="24"/>
        </w:rPr>
        <w:t>educación</w:t>
      </w:r>
      <w:r w:rsidRPr="00B119D2">
        <w:rPr>
          <w:rFonts w:ascii="Arial" w:hAnsi="Arial" w:cs="Arial"/>
          <w:sz w:val="24"/>
          <w:szCs w:val="24"/>
        </w:rPr>
        <w:t xml:space="preserve"> liberal” y que hasta 1969 no admitió a mujeres. Por sus aulas han pasado notables literatos y políticos, como el presidente Rutherford B. Hayes.</w:t>
      </w:r>
    </w:p>
    <w:p w14:paraId="6DFB7CA8"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 </w:t>
      </w:r>
    </w:p>
    <w:p w14:paraId="63EA3363"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Investigadores como Watts AG &amp;Esbroeck (2000) realizaron un estudio comparado sobre los servicios de Orientación en la Educación Superior de los países de la Unión Europea. En dicho estudio detectaron que dichos servicios habían aumentado en importancia los últimos años y que las transformaciones iban en una cuádruple dirección.</w:t>
      </w:r>
    </w:p>
    <w:p w14:paraId="2AC24EA2" w14:textId="77777777" w:rsidR="00B119D2" w:rsidRPr="00B119D2" w:rsidRDefault="00B119D2" w:rsidP="007B7DFF">
      <w:pPr>
        <w:spacing w:line="360" w:lineRule="auto"/>
        <w:jc w:val="both"/>
        <w:rPr>
          <w:rFonts w:ascii="Arial" w:hAnsi="Arial" w:cs="Arial"/>
          <w:sz w:val="24"/>
          <w:szCs w:val="24"/>
        </w:rPr>
      </w:pPr>
    </w:p>
    <w:p w14:paraId="7B4F6561"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a. Una mayor atención en los momentos previos a la entrada en la universidad como medio para facilitar la toma de decisiones del alumnado y su mayor ajuste vocacional. </w:t>
      </w:r>
    </w:p>
    <w:p w14:paraId="2FF133D9" w14:textId="77777777" w:rsidR="00B119D2" w:rsidRPr="00B119D2" w:rsidRDefault="00B119D2" w:rsidP="007B7DFF">
      <w:pPr>
        <w:spacing w:line="360" w:lineRule="auto"/>
        <w:jc w:val="both"/>
        <w:rPr>
          <w:rFonts w:ascii="Arial" w:hAnsi="Arial" w:cs="Arial"/>
          <w:sz w:val="24"/>
          <w:szCs w:val="24"/>
        </w:rPr>
      </w:pPr>
    </w:p>
    <w:p w14:paraId="535EDE2D"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lastRenderedPageBreak/>
        <w:t xml:space="preserve">b. Una atención cada vez mayor a los estudiantes en el momento de su ingreso en la Universidad como medio de reducir los cambios y abandonos académicos y que permita una decisión estable y un aprendizaje efectivo.  </w:t>
      </w:r>
    </w:p>
    <w:p w14:paraId="797E5616"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c. Un aumento en la prestación de servicios de orientación durante la etapa de estudios universitarios para evitar los índices de abandono o cambio de estudios por problemas personales o de aprendizaje que permita al alumnado una correcta elección del itinerario curricular más acorde a sus posibilidades e intereses en el diseño de su carrera y su futura empleabilidad.</w:t>
      </w:r>
    </w:p>
    <w:p w14:paraId="7EB97FDA" w14:textId="77777777" w:rsidR="00B119D2" w:rsidRPr="00B119D2" w:rsidRDefault="00B119D2" w:rsidP="007B7DFF">
      <w:pPr>
        <w:spacing w:line="360" w:lineRule="auto"/>
        <w:jc w:val="both"/>
        <w:rPr>
          <w:rFonts w:ascii="Arial" w:hAnsi="Arial" w:cs="Arial"/>
          <w:sz w:val="24"/>
          <w:szCs w:val="24"/>
        </w:rPr>
      </w:pPr>
    </w:p>
    <w:p w14:paraId="2D6AC3C2"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En las universidades españolas por ejemplo, se está tratando de responder a este reto de ayuda a los estudiantes potenciando la acción tutorial del profesorado. La tutoría constituye el instrumento educativo “natural” por la cercanía existente entre profesor y alumno.</w:t>
      </w:r>
    </w:p>
    <w:p w14:paraId="73E4C32A" w14:textId="77777777" w:rsidR="00B119D2" w:rsidRPr="00B119D2" w:rsidRDefault="00B119D2" w:rsidP="007B7DFF">
      <w:pPr>
        <w:spacing w:line="360" w:lineRule="auto"/>
        <w:jc w:val="both"/>
        <w:rPr>
          <w:rFonts w:ascii="Arial" w:hAnsi="Arial" w:cs="Arial"/>
          <w:sz w:val="24"/>
          <w:szCs w:val="24"/>
        </w:rPr>
      </w:pPr>
    </w:p>
    <w:p w14:paraId="2A200C5C" w14:textId="77777777" w:rsidR="00B119D2" w:rsidRPr="00B119D2" w:rsidRDefault="00B119D2" w:rsidP="007B7DFF">
      <w:pPr>
        <w:spacing w:line="360" w:lineRule="auto"/>
        <w:jc w:val="both"/>
        <w:rPr>
          <w:rFonts w:ascii="Arial" w:hAnsi="Arial" w:cs="Arial"/>
          <w:sz w:val="24"/>
          <w:szCs w:val="24"/>
        </w:rPr>
      </w:pPr>
    </w:p>
    <w:p w14:paraId="2A86E0B1"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d. Prestación de servicios de orientación en la salida de los estudios facilitando la transición hacia el mercado de trabajo que justifique de alguna manera la inversión pública que se ha hecho. </w:t>
      </w:r>
    </w:p>
    <w:p w14:paraId="1366B3C8" w14:textId="77777777" w:rsidR="00B119D2" w:rsidRPr="00B119D2" w:rsidRDefault="00B119D2" w:rsidP="007B7DFF">
      <w:pPr>
        <w:spacing w:line="360" w:lineRule="auto"/>
        <w:jc w:val="both"/>
        <w:rPr>
          <w:rFonts w:ascii="Arial" w:hAnsi="Arial" w:cs="Arial"/>
          <w:sz w:val="24"/>
          <w:szCs w:val="24"/>
        </w:rPr>
      </w:pPr>
    </w:p>
    <w:p w14:paraId="660BAC16" w14:textId="77777777" w:rsidR="00B119D2" w:rsidRPr="00B119D2" w:rsidRDefault="00B119D2" w:rsidP="007B7DFF">
      <w:pPr>
        <w:spacing w:line="360" w:lineRule="auto"/>
        <w:jc w:val="both"/>
        <w:rPr>
          <w:rFonts w:ascii="Arial" w:hAnsi="Arial" w:cs="Arial"/>
          <w:sz w:val="24"/>
          <w:szCs w:val="24"/>
        </w:rPr>
      </w:pPr>
    </w:p>
    <w:p w14:paraId="68D5BD2E" w14:textId="785620CE"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La tarea de orientación a través de la tutoría </w:t>
      </w:r>
      <w:r w:rsidR="00CD03B6" w:rsidRPr="00B119D2">
        <w:rPr>
          <w:rFonts w:ascii="Arial" w:hAnsi="Arial" w:cs="Arial"/>
          <w:sz w:val="24"/>
          <w:szCs w:val="24"/>
        </w:rPr>
        <w:t>universitaria</w:t>
      </w:r>
      <w:r w:rsidRPr="00B119D2">
        <w:rPr>
          <w:rFonts w:ascii="Arial" w:hAnsi="Arial" w:cs="Arial"/>
          <w:sz w:val="24"/>
          <w:szCs w:val="24"/>
        </w:rPr>
        <w:t xml:space="preserve"> es contemplada desde una perspectiva política como un instrumento importante tanto para la eficiencia como para la equidad de la educación superior e igualmente para reconciliar ambas con la autonomía de los individuos (Watts et al., 1994).</w:t>
      </w:r>
    </w:p>
    <w:p w14:paraId="75B016B2"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a) La búsqueda de un nuevo modelo de educación universitaria.</w:t>
      </w:r>
    </w:p>
    <w:p w14:paraId="7F639762"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El proyecto Tuning surge en Europa como iniciativa de una serie de Universidades privadas La Declaración de Bolonia es una promesa de 29 países para reformar las estructuras de los sistemas de educación superior de manera convergente.</w:t>
      </w:r>
    </w:p>
    <w:p w14:paraId="2AB37A06"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lastRenderedPageBreak/>
        <w:t>La Declaración es un documento clave que señala una encrucijada en el desarrollo de la educación superior en Europa.</w:t>
      </w:r>
    </w:p>
    <w:p w14:paraId="425CEF8D"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El proceso de Bolonia aspira a crear la convergencia y, por lo tanto, no es un camino hacia la "estandarización" o "uniformidad" de la educación superior europea. Se respetan los principios fundamentales de autonomía y diversidad.</w:t>
      </w:r>
    </w:p>
    <w:p w14:paraId="025ED6FB"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La Declaración se hace eco de la búsqueda de una solución común europea para los problemas comunes europeos. El proceso se origina del reconocimiento que, a pesar de sus diferencias valiosas, los sistemas de educación superior están afrontando a los desafíos interiores e exteriores comunes que se relacionan al desarrollo y diversificación de educación superior, empleo de licenciados, falta de destrezas en las áreas claves, ampliación de educación privada y transnacional, etc. La Declaración se da cuenta del valor de reformas coordinadas, sistemas compatibles y acción común.</w:t>
      </w:r>
    </w:p>
    <w:p w14:paraId="12AD210A"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Como se sostiene en el proyecto Tuning, el papel fundamental del profesor debe ser el de ayudar al estudiante en el proceso de adquisición de competencias. El concepto de competencia abarca tres ámbitos:</w:t>
      </w:r>
    </w:p>
    <w:p w14:paraId="2251ED0C" w14:textId="77777777" w:rsidR="00EF7528" w:rsidRDefault="00EF7528" w:rsidP="007B7DFF">
      <w:pPr>
        <w:spacing w:line="360" w:lineRule="auto"/>
        <w:jc w:val="both"/>
        <w:rPr>
          <w:rFonts w:ascii="Arial" w:hAnsi="Arial" w:cs="Arial"/>
          <w:sz w:val="24"/>
          <w:szCs w:val="24"/>
        </w:rPr>
      </w:pPr>
    </w:p>
    <w:p w14:paraId="194AFE94" w14:textId="50673465"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a.</w:t>
      </w:r>
      <w:r w:rsidRPr="00B119D2">
        <w:rPr>
          <w:rFonts w:ascii="Arial" w:hAnsi="Arial" w:cs="Arial"/>
          <w:sz w:val="24"/>
          <w:szCs w:val="24"/>
        </w:rPr>
        <w:tab/>
        <w:t>Lo que el alumno va a ser capaz de CONOCER (área académica)</w:t>
      </w:r>
    </w:p>
    <w:p w14:paraId="6D1542E3" w14:textId="77777777" w:rsidR="00B119D2" w:rsidRPr="00B119D2" w:rsidRDefault="00B119D2" w:rsidP="007B7DFF">
      <w:pPr>
        <w:spacing w:line="360" w:lineRule="auto"/>
        <w:jc w:val="both"/>
        <w:rPr>
          <w:rFonts w:ascii="Arial" w:hAnsi="Arial" w:cs="Arial"/>
          <w:sz w:val="24"/>
          <w:szCs w:val="24"/>
        </w:rPr>
      </w:pPr>
    </w:p>
    <w:p w14:paraId="63B3F779"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b.</w:t>
      </w:r>
      <w:r w:rsidRPr="00B119D2">
        <w:rPr>
          <w:rFonts w:ascii="Arial" w:hAnsi="Arial" w:cs="Arial"/>
          <w:sz w:val="24"/>
          <w:szCs w:val="24"/>
        </w:rPr>
        <w:tab/>
        <w:t>Lo que el alumno va a ser capaz de HACER (habilidades y destrezas)</w:t>
      </w:r>
    </w:p>
    <w:p w14:paraId="0A29C449" w14:textId="77777777" w:rsidR="00B119D2" w:rsidRPr="00B119D2" w:rsidRDefault="00B119D2" w:rsidP="007B7DFF">
      <w:pPr>
        <w:spacing w:line="360" w:lineRule="auto"/>
        <w:jc w:val="both"/>
        <w:rPr>
          <w:rFonts w:ascii="Arial" w:hAnsi="Arial" w:cs="Arial"/>
          <w:sz w:val="24"/>
          <w:szCs w:val="24"/>
        </w:rPr>
      </w:pPr>
    </w:p>
    <w:p w14:paraId="7F5BEA80"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c.</w:t>
      </w:r>
      <w:r w:rsidRPr="00B119D2">
        <w:rPr>
          <w:rFonts w:ascii="Arial" w:hAnsi="Arial" w:cs="Arial"/>
          <w:sz w:val="24"/>
          <w:szCs w:val="24"/>
        </w:rPr>
        <w:tab/>
        <w:t>Lo que el alumno va a ser capaz de SER (actitudes y responsabilidades</w:t>
      </w:r>
    </w:p>
    <w:p w14:paraId="0440235E" w14:textId="77777777" w:rsidR="00B119D2" w:rsidRPr="00B119D2" w:rsidRDefault="00B119D2" w:rsidP="007B7DFF">
      <w:pPr>
        <w:spacing w:line="360" w:lineRule="auto"/>
        <w:jc w:val="both"/>
        <w:rPr>
          <w:rFonts w:ascii="Arial" w:hAnsi="Arial" w:cs="Arial"/>
          <w:sz w:val="24"/>
          <w:szCs w:val="24"/>
        </w:rPr>
      </w:pPr>
    </w:p>
    <w:p w14:paraId="2B999229"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Esto cambia la formulación de los objetivos educativos fijados tradicionalmente. Estamos hablando de un rediseño de la actividad docente. De una idea pasiva centrada sólo en el proceso de enseñanza a una idea activa centrada en lo que el alumno aprende, es decir, lo que va a ser capaz de conocer, lo que va a ser capaz de hacer y las actitudes que va a adoptar para continuar aprendiendo de forma autónoma a lo largo de toda su vida. Así, competencias como trabajo en </w:t>
      </w:r>
      <w:r w:rsidRPr="00B119D2">
        <w:rPr>
          <w:rFonts w:ascii="Arial" w:hAnsi="Arial" w:cs="Arial"/>
          <w:sz w:val="24"/>
          <w:szCs w:val="24"/>
        </w:rPr>
        <w:lastRenderedPageBreak/>
        <w:t>equipo, desarrollo de la capacidad de síntesis, crítica, pensamiento comparativo, analítico, comunicación y expresión oral y escrita, por citar algunas, son claves para el desarrollo personal, académico y profesional de los estudiantes.</w:t>
      </w:r>
    </w:p>
    <w:p w14:paraId="490D74EA" w14:textId="51B8531C"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Entonces el profesor adquiere el papel de acompañante, de supervisor y guía del aprendizaje, para alcanzar objetivos y competencias previamente definidas. Sin dejar de ser transmisor del conocimiento, este papel se dirige a un mayor nivel de tutoría, de apoyo y motivación para adquirir el conocimiento y habilidades, a la comprensión y capacidad para aplicar ese conocimiento, a la selección crítica de materiales y fuentes, organización de situaciones de aprendizaje, </w:t>
      </w:r>
      <w:r w:rsidR="009D7BD3" w:rsidRPr="00B119D2">
        <w:rPr>
          <w:rFonts w:ascii="Arial" w:hAnsi="Arial" w:cs="Arial"/>
          <w:sz w:val="24"/>
          <w:szCs w:val="24"/>
        </w:rPr>
        <w:t>etc.</w:t>
      </w:r>
      <w:r w:rsidRPr="00B119D2">
        <w:rPr>
          <w:rFonts w:ascii="Arial" w:hAnsi="Arial" w:cs="Arial"/>
          <w:sz w:val="24"/>
          <w:szCs w:val="24"/>
        </w:rPr>
        <w:t>… (Bolívar,2003).</w:t>
      </w:r>
    </w:p>
    <w:p w14:paraId="244B0E2D" w14:textId="77777777" w:rsidR="00B119D2" w:rsidRDefault="00B119D2" w:rsidP="007B7DFF">
      <w:pPr>
        <w:spacing w:line="360" w:lineRule="auto"/>
        <w:jc w:val="both"/>
        <w:rPr>
          <w:rFonts w:ascii="Arial" w:hAnsi="Arial" w:cs="Arial"/>
          <w:sz w:val="24"/>
          <w:szCs w:val="24"/>
        </w:rPr>
      </w:pPr>
      <w:r w:rsidRPr="00B119D2">
        <w:rPr>
          <w:rFonts w:ascii="Arial" w:hAnsi="Arial" w:cs="Arial"/>
          <w:sz w:val="24"/>
          <w:szCs w:val="24"/>
        </w:rPr>
        <w:t>También en América Latina en el año 2007 representantes de distintas Universidades latinoamericanas se propusieron similares objetivos a los del proyecto Tuning Europeo.</w:t>
      </w:r>
    </w:p>
    <w:p w14:paraId="6E6B8DAA" w14:textId="25E3F64C" w:rsidR="00B119D2" w:rsidRPr="00B119D2" w:rsidRDefault="009D7BD3" w:rsidP="007B7DFF">
      <w:pPr>
        <w:spacing w:line="360" w:lineRule="auto"/>
        <w:jc w:val="both"/>
        <w:rPr>
          <w:rFonts w:ascii="Arial" w:hAnsi="Arial" w:cs="Arial"/>
          <w:sz w:val="24"/>
          <w:szCs w:val="24"/>
        </w:rPr>
      </w:pPr>
      <w:r w:rsidRPr="00B119D2">
        <w:rPr>
          <w:rFonts w:ascii="Arial" w:hAnsi="Arial" w:cs="Arial"/>
          <w:sz w:val="24"/>
          <w:szCs w:val="24"/>
        </w:rPr>
        <w:t>2.3 La</w:t>
      </w:r>
      <w:r w:rsidR="00B119D2" w:rsidRPr="00B119D2">
        <w:rPr>
          <w:rFonts w:ascii="Arial" w:hAnsi="Arial" w:cs="Arial"/>
          <w:sz w:val="24"/>
          <w:szCs w:val="24"/>
        </w:rPr>
        <w:t xml:space="preserve"> situación en América Latina.</w:t>
      </w:r>
    </w:p>
    <w:p w14:paraId="2F26B13D" w14:textId="77777777" w:rsidR="00B119D2" w:rsidRPr="00B119D2" w:rsidRDefault="00B119D2" w:rsidP="007B7DFF">
      <w:pPr>
        <w:spacing w:line="360" w:lineRule="auto"/>
        <w:jc w:val="both"/>
        <w:rPr>
          <w:rFonts w:ascii="Arial" w:hAnsi="Arial" w:cs="Arial"/>
          <w:sz w:val="24"/>
          <w:szCs w:val="24"/>
        </w:rPr>
      </w:pPr>
    </w:p>
    <w:p w14:paraId="7A6A3C03"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Acuerdos Regionales en América Latina sobre esta temática</w:t>
      </w:r>
    </w:p>
    <w:p w14:paraId="588D2A89" w14:textId="77777777" w:rsidR="00B119D2" w:rsidRPr="00B119D2" w:rsidRDefault="00B119D2" w:rsidP="007B7DFF">
      <w:pPr>
        <w:spacing w:line="360" w:lineRule="auto"/>
        <w:jc w:val="both"/>
        <w:rPr>
          <w:rFonts w:ascii="Arial" w:hAnsi="Arial" w:cs="Arial"/>
          <w:sz w:val="24"/>
          <w:szCs w:val="24"/>
        </w:rPr>
      </w:pPr>
    </w:p>
    <w:p w14:paraId="3AA5B5E4" w14:textId="77777777" w:rsidR="00B119D2" w:rsidRPr="00B119D2" w:rsidRDefault="00B119D2" w:rsidP="007B7DFF">
      <w:pPr>
        <w:spacing w:line="360" w:lineRule="auto"/>
        <w:jc w:val="both"/>
        <w:rPr>
          <w:rFonts w:ascii="Arial" w:hAnsi="Arial" w:cs="Arial"/>
          <w:sz w:val="24"/>
          <w:szCs w:val="24"/>
        </w:rPr>
      </w:pPr>
    </w:p>
    <w:p w14:paraId="023FC9CB" w14:textId="6C458565"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Revisando los textos de los distintos </w:t>
      </w:r>
      <w:r w:rsidR="009D7BD3" w:rsidRPr="00B119D2">
        <w:rPr>
          <w:rFonts w:ascii="Arial" w:hAnsi="Arial" w:cs="Arial"/>
          <w:sz w:val="24"/>
          <w:szCs w:val="24"/>
        </w:rPr>
        <w:t>acuerdos o</w:t>
      </w:r>
      <w:r w:rsidRPr="00B119D2">
        <w:rPr>
          <w:rFonts w:ascii="Arial" w:hAnsi="Arial" w:cs="Arial"/>
          <w:sz w:val="24"/>
          <w:szCs w:val="24"/>
        </w:rPr>
        <w:t xml:space="preserve"> emprendimientos regionales respecto a la educación superior, en cuanto a la problemática del acceso </w:t>
      </w:r>
      <w:r w:rsidR="0030082B" w:rsidRPr="00B119D2">
        <w:rPr>
          <w:rFonts w:ascii="Arial" w:hAnsi="Arial" w:cs="Arial"/>
          <w:sz w:val="24"/>
          <w:szCs w:val="24"/>
        </w:rPr>
        <w:t>y equidad</w:t>
      </w:r>
      <w:r w:rsidRPr="00B119D2">
        <w:rPr>
          <w:rFonts w:ascii="Arial" w:hAnsi="Arial" w:cs="Arial"/>
          <w:sz w:val="24"/>
          <w:szCs w:val="24"/>
        </w:rPr>
        <w:t xml:space="preserve"> y especialmente en el tema tutorías, este tema no aparece en forma </w:t>
      </w:r>
      <w:r w:rsidR="009D7BD3" w:rsidRPr="00B119D2">
        <w:rPr>
          <w:rFonts w:ascii="Arial" w:hAnsi="Arial" w:cs="Arial"/>
          <w:sz w:val="24"/>
          <w:szCs w:val="24"/>
        </w:rPr>
        <w:t>explícita</w:t>
      </w:r>
      <w:r w:rsidRPr="00B119D2">
        <w:rPr>
          <w:rFonts w:ascii="Arial" w:hAnsi="Arial" w:cs="Arial"/>
          <w:sz w:val="24"/>
          <w:szCs w:val="24"/>
        </w:rPr>
        <w:t>, en la documentación revisada.</w:t>
      </w:r>
    </w:p>
    <w:p w14:paraId="642D1BAE" w14:textId="77777777" w:rsidR="00B119D2" w:rsidRPr="00B119D2" w:rsidRDefault="00B119D2" w:rsidP="007B7DFF">
      <w:pPr>
        <w:spacing w:line="360" w:lineRule="auto"/>
        <w:jc w:val="both"/>
        <w:rPr>
          <w:rFonts w:ascii="Arial" w:hAnsi="Arial" w:cs="Arial"/>
          <w:sz w:val="24"/>
          <w:szCs w:val="24"/>
        </w:rPr>
      </w:pPr>
    </w:p>
    <w:p w14:paraId="318BBF20"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 Por ejemplo en el acuerdo del Mercosur en el terreno educativo en lo que se refiere a la educación superior se mencionan la preocupación sobre tres temas relacionado con la Educación Superior:</w:t>
      </w:r>
    </w:p>
    <w:p w14:paraId="59300218" w14:textId="77777777" w:rsidR="00B119D2" w:rsidRPr="00B119D2" w:rsidRDefault="00B119D2" w:rsidP="007B7DFF">
      <w:pPr>
        <w:spacing w:line="360" w:lineRule="auto"/>
        <w:jc w:val="both"/>
        <w:rPr>
          <w:rFonts w:ascii="Arial" w:hAnsi="Arial" w:cs="Arial"/>
          <w:sz w:val="24"/>
          <w:szCs w:val="24"/>
        </w:rPr>
      </w:pPr>
    </w:p>
    <w:p w14:paraId="21CD39E6"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1.</w:t>
      </w:r>
      <w:r w:rsidRPr="00B119D2">
        <w:rPr>
          <w:rFonts w:ascii="Arial" w:hAnsi="Arial" w:cs="Arial"/>
          <w:sz w:val="24"/>
          <w:szCs w:val="24"/>
        </w:rPr>
        <w:tab/>
        <w:t>Movilidad de estudiantes, y profesores</w:t>
      </w:r>
    </w:p>
    <w:p w14:paraId="5932E49A"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2.</w:t>
      </w:r>
      <w:r w:rsidRPr="00B119D2">
        <w:rPr>
          <w:rFonts w:ascii="Arial" w:hAnsi="Arial" w:cs="Arial"/>
          <w:sz w:val="24"/>
          <w:szCs w:val="24"/>
        </w:rPr>
        <w:tab/>
        <w:t xml:space="preserve">Acreditación de carreras a nivel regional </w:t>
      </w:r>
    </w:p>
    <w:p w14:paraId="1078BCB1"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lastRenderedPageBreak/>
        <w:t>3.</w:t>
      </w:r>
      <w:r w:rsidRPr="00B119D2">
        <w:rPr>
          <w:rFonts w:ascii="Arial" w:hAnsi="Arial" w:cs="Arial"/>
          <w:sz w:val="24"/>
          <w:szCs w:val="24"/>
        </w:rPr>
        <w:tab/>
        <w:t>Cooperación interinstitucional a través de programas de postgrado, formación docente e investigación científica.</w:t>
      </w:r>
    </w:p>
    <w:p w14:paraId="02EB967D" w14:textId="77777777" w:rsidR="00B119D2" w:rsidRPr="00B119D2" w:rsidRDefault="00B119D2" w:rsidP="007B7DFF">
      <w:pPr>
        <w:spacing w:line="360" w:lineRule="auto"/>
        <w:jc w:val="both"/>
        <w:rPr>
          <w:rFonts w:ascii="Arial" w:hAnsi="Arial" w:cs="Arial"/>
          <w:sz w:val="24"/>
          <w:szCs w:val="24"/>
        </w:rPr>
      </w:pPr>
    </w:p>
    <w:p w14:paraId="22F8F821"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Asociación de Universidades del Grupo Montevideo (AUGM) integrada por universidades de Argentina, Brasil, Chile, Paraguay y Uruguay. </w:t>
      </w:r>
    </w:p>
    <w:p w14:paraId="4453BEBD" w14:textId="77777777" w:rsidR="00B119D2" w:rsidRPr="00B119D2" w:rsidRDefault="00B119D2" w:rsidP="007B7DFF">
      <w:pPr>
        <w:spacing w:line="360" w:lineRule="auto"/>
        <w:jc w:val="both"/>
        <w:rPr>
          <w:rFonts w:ascii="Arial" w:hAnsi="Arial" w:cs="Arial"/>
          <w:sz w:val="24"/>
          <w:szCs w:val="24"/>
        </w:rPr>
      </w:pPr>
    </w:p>
    <w:p w14:paraId="5BC944B5"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Los objetivos que se mencionan son contribuir al fortalecimiento y consolidación de una masa crítica de recursos humanos de alto nivel, aprovechando las ventajas comparativas que ofrecen las capacidades instaladas en la región a saber: </w:t>
      </w:r>
    </w:p>
    <w:p w14:paraId="535DAABF" w14:textId="77777777" w:rsidR="00B119D2" w:rsidRPr="00B119D2" w:rsidRDefault="00B119D2" w:rsidP="007B7DFF">
      <w:pPr>
        <w:spacing w:line="360" w:lineRule="auto"/>
        <w:jc w:val="both"/>
        <w:rPr>
          <w:rFonts w:ascii="Arial" w:hAnsi="Arial" w:cs="Arial"/>
          <w:sz w:val="24"/>
          <w:szCs w:val="24"/>
        </w:rPr>
      </w:pPr>
    </w:p>
    <w:p w14:paraId="4B6C36CE"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w:t>
      </w:r>
      <w:r w:rsidRPr="00B119D2">
        <w:rPr>
          <w:rFonts w:ascii="Arial" w:hAnsi="Arial" w:cs="Arial"/>
          <w:sz w:val="24"/>
          <w:szCs w:val="24"/>
        </w:rPr>
        <w:tab/>
        <w:t xml:space="preserve">La investigación científica y tecnológica, incluidos los procesos de innovación, adaptación y transferencia tecnológica, en áreas estratégicas; </w:t>
      </w:r>
    </w:p>
    <w:p w14:paraId="117F5960"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w:t>
      </w:r>
      <w:r w:rsidRPr="00B119D2">
        <w:rPr>
          <w:rFonts w:ascii="Arial" w:hAnsi="Arial" w:cs="Arial"/>
          <w:sz w:val="24"/>
          <w:szCs w:val="24"/>
        </w:rPr>
        <w:tab/>
        <w:t xml:space="preserve">La formación continua, inscripta en el desarrollo integral de las poblaciones de la subregión; </w:t>
      </w:r>
    </w:p>
    <w:p w14:paraId="5D9477DD"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w:t>
      </w:r>
      <w:r w:rsidRPr="00B119D2">
        <w:rPr>
          <w:rFonts w:ascii="Arial" w:hAnsi="Arial" w:cs="Arial"/>
          <w:sz w:val="24"/>
          <w:szCs w:val="24"/>
        </w:rPr>
        <w:tab/>
        <w:t xml:space="preserve">Las Estructura y Funcionamiento de gestión de las universidades que integran la Asociación; </w:t>
      </w:r>
    </w:p>
    <w:p w14:paraId="23C737C6"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w:t>
      </w:r>
      <w:r w:rsidRPr="00B119D2">
        <w:rPr>
          <w:rFonts w:ascii="Arial" w:hAnsi="Arial" w:cs="Arial"/>
          <w:sz w:val="24"/>
          <w:szCs w:val="24"/>
        </w:rPr>
        <w:tab/>
        <w:t>La interacción de sus miembros con la sociedad en su conjunto, difundiendo los avances del conocimiento que propendan a su modernización.</w:t>
      </w:r>
    </w:p>
    <w:p w14:paraId="2CB35C48"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Pero no se encontró una mención específica sobre el tema de este trabajo en los documentos que se encuentran en la página de esta institución.</w:t>
      </w:r>
    </w:p>
    <w:p w14:paraId="77E7F638" w14:textId="77777777" w:rsidR="00B119D2" w:rsidRPr="00B119D2" w:rsidRDefault="00B119D2" w:rsidP="007B7DFF">
      <w:pPr>
        <w:spacing w:line="360" w:lineRule="auto"/>
        <w:jc w:val="both"/>
        <w:rPr>
          <w:rFonts w:ascii="Arial" w:hAnsi="Arial" w:cs="Arial"/>
          <w:sz w:val="24"/>
          <w:szCs w:val="24"/>
        </w:rPr>
      </w:pPr>
    </w:p>
    <w:p w14:paraId="18DDA7CD" w14:textId="49731AC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Consejo de Rectores para la integración de la </w:t>
      </w:r>
      <w:r w:rsidR="00C57945" w:rsidRPr="00B119D2">
        <w:rPr>
          <w:rFonts w:ascii="Arial" w:hAnsi="Arial" w:cs="Arial"/>
          <w:sz w:val="24"/>
          <w:szCs w:val="24"/>
        </w:rPr>
        <w:t>subregión</w:t>
      </w:r>
      <w:r w:rsidRPr="00B119D2">
        <w:rPr>
          <w:rFonts w:ascii="Arial" w:hAnsi="Arial" w:cs="Arial"/>
          <w:sz w:val="24"/>
          <w:szCs w:val="24"/>
        </w:rPr>
        <w:t xml:space="preserve"> Centro Oeste de Sudamérica (CRISCOS) constituido por universidades del noroeste de Argentina, de toda Bolivia, del norte de Chile y sur del Perú, representadas por sus rectores. </w:t>
      </w:r>
    </w:p>
    <w:p w14:paraId="0A7B14DB" w14:textId="67038295"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En la </w:t>
      </w:r>
      <w:r w:rsidR="00C57945" w:rsidRPr="00B119D2">
        <w:rPr>
          <w:rFonts w:ascii="Arial" w:hAnsi="Arial" w:cs="Arial"/>
          <w:sz w:val="24"/>
          <w:szCs w:val="24"/>
        </w:rPr>
        <w:t>página</w:t>
      </w:r>
      <w:r w:rsidRPr="00B119D2">
        <w:rPr>
          <w:rFonts w:ascii="Arial" w:hAnsi="Arial" w:cs="Arial"/>
          <w:sz w:val="24"/>
          <w:szCs w:val="24"/>
        </w:rPr>
        <w:t xml:space="preserve"> se menciona más que nada la preocupación sobre la movilidad estudiantil preferentemente aunque se menciona una declaración de la Asociación Internacional de Universidades cuyo nombre es  Acceso Equitativo, </w:t>
      </w:r>
      <w:r w:rsidRPr="00B119D2">
        <w:rPr>
          <w:rFonts w:ascii="Arial" w:hAnsi="Arial" w:cs="Arial"/>
          <w:sz w:val="24"/>
          <w:szCs w:val="24"/>
        </w:rPr>
        <w:lastRenderedPageBreak/>
        <w:t xml:space="preserve">Éxito y Calidad en la Educación Superior en relación </w:t>
      </w:r>
      <w:r w:rsidR="00C57945" w:rsidRPr="00B119D2">
        <w:rPr>
          <w:rFonts w:ascii="Arial" w:hAnsi="Arial" w:cs="Arial"/>
          <w:sz w:val="24"/>
          <w:szCs w:val="24"/>
        </w:rPr>
        <w:t>a la</w:t>
      </w:r>
      <w:r w:rsidRPr="00B119D2">
        <w:rPr>
          <w:rFonts w:ascii="Arial" w:hAnsi="Arial" w:cs="Arial"/>
          <w:sz w:val="24"/>
          <w:szCs w:val="24"/>
        </w:rPr>
        <w:t xml:space="preserve"> 13th Conferencia General de la Asociación Internacional de Universidades, realizada en Utrecht, Holanda, en Julio del 2008.</w:t>
      </w:r>
    </w:p>
    <w:p w14:paraId="2EDBBD92"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Se menciona como propuestas:</w:t>
      </w:r>
    </w:p>
    <w:p w14:paraId="3F0463BB"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w:t>
      </w:r>
      <w:r w:rsidRPr="00B119D2">
        <w:rPr>
          <w:rFonts w:ascii="Arial" w:hAnsi="Arial" w:cs="Arial"/>
          <w:sz w:val="24"/>
          <w:szCs w:val="24"/>
        </w:rPr>
        <w:tab/>
        <w:t>Desarrollar y fortalecer políticas de admisión y prácticas que enfaticen el potencial de cada solicitante y dirija la equidad de acceso y una participación exitosa al ofrecer una variedad de caminos para el aprendizaje tanto de entrada como de salida.</w:t>
      </w:r>
    </w:p>
    <w:p w14:paraId="2672C0AC" w14:textId="2AF73201"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w:t>
      </w:r>
      <w:r w:rsidRPr="00B119D2">
        <w:rPr>
          <w:rFonts w:ascii="Arial" w:hAnsi="Arial" w:cs="Arial"/>
          <w:sz w:val="24"/>
          <w:szCs w:val="24"/>
        </w:rPr>
        <w:tab/>
        <w:t xml:space="preserve">Proporcionar a los estudiantes un sistema de apoyo, académico, financiero y social, poniendo especial atención a las necesidades específicas de los aspirantes de grupos </w:t>
      </w:r>
      <w:r w:rsidR="00C57945" w:rsidRPr="00B119D2">
        <w:rPr>
          <w:rFonts w:ascii="Arial" w:hAnsi="Arial" w:cs="Arial"/>
          <w:sz w:val="24"/>
          <w:szCs w:val="24"/>
        </w:rPr>
        <w:t>subrepresentados</w:t>
      </w:r>
      <w:r w:rsidRPr="00B119D2">
        <w:rPr>
          <w:rFonts w:ascii="Arial" w:hAnsi="Arial" w:cs="Arial"/>
          <w:sz w:val="24"/>
          <w:szCs w:val="24"/>
        </w:rPr>
        <w:t xml:space="preserve"> y/o a aquellos que experimentan dificultades.</w:t>
      </w:r>
    </w:p>
    <w:p w14:paraId="1B5641C1" w14:textId="77777777" w:rsidR="00B119D2" w:rsidRPr="00B119D2" w:rsidRDefault="00B119D2" w:rsidP="007B7DFF">
      <w:pPr>
        <w:spacing w:line="360" w:lineRule="auto"/>
        <w:jc w:val="both"/>
        <w:rPr>
          <w:rFonts w:ascii="Arial" w:hAnsi="Arial" w:cs="Arial"/>
          <w:sz w:val="24"/>
          <w:szCs w:val="24"/>
        </w:rPr>
      </w:pPr>
    </w:p>
    <w:p w14:paraId="57255697" w14:textId="3315F888"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ANUIES-Asociación Nacional de Universidades (México): Organismo no gubernamental, de carácter plural, que agremia a las principales instituciones de México. En este caso la institución propone </w:t>
      </w:r>
      <w:r w:rsidR="00C57945" w:rsidRPr="00B119D2">
        <w:rPr>
          <w:rFonts w:ascii="Arial" w:hAnsi="Arial" w:cs="Arial"/>
          <w:sz w:val="24"/>
          <w:szCs w:val="24"/>
        </w:rPr>
        <w:t>un proyecto</w:t>
      </w:r>
      <w:r w:rsidRPr="00B119D2">
        <w:rPr>
          <w:rFonts w:ascii="Arial" w:hAnsi="Arial" w:cs="Arial"/>
          <w:sz w:val="24"/>
          <w:szCs w:val="24"/>
        </w:rPr>
        <w:t xml:space="preserve"> </w:t>
      </w:r>
      <w:r w:rsidR="00167FBB" w:rsidRPr="00B119D2">
        <w:rPr>
          <w:rFonts w:ascii="Arial" w:hAnsi="Arial" w:cs="Arial"/>
          <w:sz w:val="24"/>
          <w:szCs w:val="24"/>
        </w:rPr>
        <w:t>de incorporación</w:t>
      </w:r>
      <w:r w:rsidRPr="00B119D2">
        <w:rPr>
          <w:rFonts w:ascii="Arial" w:hAnsi="Arial" w:cs="Arial"/>
          <w:sz w:val="24"/>
          <w:szCs w:val="24"/>
        </w:rPr>
        <w:t xml:space="preserve"> de un programa de tutorías en las instituciones de Educación Superior. Programa institucional de Tutorías, que en si mismo es un trabajo de investigación sobre la implantación de distintos programas de tutorías en las Universidades Mexicanas a partir del cual se proponen una serie de </w:t>
      </w:r>
      <w:r w:rsidR="00167FBB" w:rsidRPr="00B119D2">
        <w:rPr>
          <w:rFonts w:ascii="Arial" w:hAnsi="Arial" w:cs="Arial"/>
          <w:sz w:val="24"/>
          <w:szCs w:val="24"/>
        </w:rPr>
        <w:t>criterios para</w:t>
      </w:r>
      <w:r w:rsidRPr="00B119D2">
        <w:rPr>
          <w:rFonts w:ascii="Arial" w:hAnsi="Arial" w:cs="Arial"/>
          <w:sz w:val="24"/>
          <w:szCs w:val="24"/>
        </w:rPr>
        <w:t xml:space="preserve"> lograr una implementación de un sistema de tutorías, en si mismo no plantea un ,modelo especifico</w:t>
      </w:r>
    </w:p>
    <w:p w14:paraId="4E77B1A7" w14:textId="77777777" w:rsidR="00B119D2" w:rsidRPr="00B119D2" w:rsidRDefault="00B119D2" w:rsidP="007B7DFF">
      <w:pPr>
        <w:spacing w:line="360" w:lineRule="auto"/>
        <w:jc w:val="both"/>
        <w:rPr>
          <w:rFonts w:ascii="Arial" w:hAnsi="Arial" w:cs="Arial"/>
          <w:sz w:val="24"/>
          <w:szCs w:val="24"/>
        </w:rPr>
      </w:pPr>
    </w:p>
    <w:p w14:paraId="60E7227E" w14:textId="7AA7494D"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Consorcio </w:t>
      </w:r>
      <w:r w:rsidR="00C57945" w:rsidRPr="00B119D2">
        <w:rPr>
          <w:rFonts w:ascii="Arial" w:hAnsi="Arial" w:cs="Arial"/>
          <w:sz w:val="24"/>
          <w:szCs w:val="24"/>
        </w:rPr>
        <w:t>Sur Andino</w:t>
      </w:r>
      <w:r w:rsidRPr="00B119D2">
        <w:rPr>
          <w:rFonts w:ascii="Arial" w:hAnsi="Arial" w:cs="Arial"/>
          <w:sz w:val="24"/>
          <w:szCs w:val="24"/>
        </w:rPr>
        <w:t xml:space="preserve"> CEIDIS: es una base institucional para lograr aprendizajes mutuos y la valoración y difusión de conocimientos y experiencias que favorezcan el desarrollo sustentable y la integración regional </w:t>
      </w:r>
      <w:r w:rsidR="00C57945" w:rsidRPr="00B119D2">
        <w:rPr>
          <w:rFonts w:ascii="Arial" w:hAnsi="Arial" w:cs="Arial"/>
          <w:sz w:val="24"/>
          <w:szCs w:val="24"/>
        </w:rPr>
        <w:t>sur andina</w:t>
      </w:r>
      <w:r w:rsidRPr="00B119D2">
        <w:rPr>
          <w:rFonts w:ascii="Arial" w:hAnsi="Arial" w:cs="Arial"/>
          <w:sz w:val="24"/>
          <w:szCs w:val="24"/>
        </w:rPr>
        <w:t>.</w:t>
      </w:r>
    </w:p>
    <w:p w14:paraId="1E2318E9"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Las preocupaciones de esta institución este relacionadas:</w:t>
      </w:r>
    </w:p>
    <w:p w14:paraId="437F7404"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w:t>
      </w:r>
      <w:r w:rsidRPr="00B119D2">
        <w:rPr>
          <w:rFonts w:ascii="Arial" w:hAnsi="Arial" w:cs="Arial"/>
          <w:sz w:val="24"/>
          <w:szCs w:val="24"/>
        </w:rPr>
        <w:tab/>
        <w:t>Programas de intercambio y movilidad académica</w:t>
      </w:r>
    </w:p>
    <w:p w14:paraId="0B92A156"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w:t>
      </w:r>
      <w:r w:rsidRPr="00B119D2">
        <w:rPr>
          <w:rFonts w:ascii="Arial" w:hAnsi="Arial" w:cs="Arial"/>
          <w:sz w:val="24"/>
          <w:szCs w:val="24"/>
        </w:rPr>
        <w:tab/>
        <w:t>Fortalecimiento de redes de cooperación de evaluaciones y acreditaciones de unidades académicas</w:t>
      </w:r>
    </w:p>
    <w:p w14:paraId="13441897"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lastRenderedPageBreak/>
        <w:t>•</w:t>
      </w:r>
      <w:r w:rsidRPr="00B119D2">
        <w:rPr>
          <w:rFonts w:ascii="Arial" w:hAnsi="Arial" w:cs="Arial"/>
          <w:sz w:val="24"/>
          <w:szCs w:val="24"/>
        </w:rPr>
        <w:tab/>
        <w:t>Apoyo a proyectos piloto de formación de investigadores en redes universitarias.</w:t>
      </w:r>
    </w:p>
    <w:p w14:paraId="3670231C"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w:t>
      </w:r>
      <w:r w:rsidRPr="00B119D2">
        <w:rPr>
          <w:rFonts w:ascii="Arial" w:hAnsi="Arial" w:cs="Arial"/>
          <w:sz w:val="24"/>
          <w:szCs w:val="24"/>
        </w:rPr>
        <w:tab/>
        <w:t>Realización del diagnóstico y análisis de tendencias en la homologación de títulos universitarios en la región.</w:t>
      </w:r>
    </w:p>
    <w:p w14:paraId="06FFC33D" w14:textId="77777777" w:rsidR="00B119D2" w:rsidRPr="00B119D2" w:rsidRDefault="00B119D2" w:rsidP="007B7DFF">
      <w:pPr>
        <w:spacing w:line="360" w:lineRule="auto"/>
        <w:jc w:val="both"/>
        <w:rPr>
          <w:rFonts w:ascii="Arial" w:hAnsi="Arial" w:cs="Arial"/>
          <w:sz w:val="24"/>
          <w:szCs w:val="24"/>
        </w:rPr>
      </w:pPr>
    </w:p>
    <w:p w14:paraId="1CF1BB60"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CSUCA-Consejo Superior Universitario de Centroamérica</w:t>
      </w:r>
    </w:p>
    <w:p w14:paraId="00AE1EE8" w14:textId="0F75F4ED"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En el capítulo II Principios fines y objetivos se menciona </w:t>
      </w:r>
      <w:r w:rsidR="00C57945" w:rsidRPr="00B119D2">
        <w:rPr>
          <w:rFonts w:ascii="Arial" w:hAnsi="Arial" w:cs="Arial"/>
          <w:sz w:val="24"/>
          <w:szCs w:val="24"/>
        </w:rPr>
        <w:t>con relación al</w:t>
      </w:r>
      <w:r w:rsidRPr="00B119D2">
        <w:rPr>
          <w:rFonts w:ascii="Arial" w:hAnsi="Arial" w:cs="Arial"/>
          <w:sz w:val="24"/>
          <w:szCs w:val="24"/>
        </w:rPr>
        <w:t xml:space="preserve"> tema de la equidad y el acceso a la educación superior:</w:t>
      </w:r>
    </w:p>
    <w:p w14:paraId="32E45345"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Contribuir a la democratización de las instituciones de educación superior del área centroamericana, facilitar la movilidad y contribuir a la equidad social.</w:t>
      </w:r>
    </w:p>
    <w:p w14:paraId="7C5B3F40"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Para ello buscará los medios que garanticen el acceso a la universidad de los sectores de la población menos privilegiados, y las condiciones para su adecuada formación.</w:t>
      </w:r>
    </w:p>
    <w:p w14:paraId="53968700" w14:textId="77777777" w:rsidR="00B119D2" w:rsidRPr="00B119D2" w:rsidRDefault="00B119D2" w:rsidP="007B7DFF">
      <w:pPr>
        <w:spacing w:line="360" w:lineRule="auto"/>
        <w:jc w:val="both"/>
        <w:rPr>
          <w:rFonts w:ascii="Arial" w:hAnsi="Arial" w:cs="Arial"/>
          <w:sz w:val="24"/>
          <w:szCs w:val="24"/>
        </w:rPr>
      </w:pPr>
    </w:p>
    <w:p w14:paraId="50C60043" w14:textId="6A9F7068"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UNAMAZ-Associação de Universidades </w:t>
      </w:r>
      <w:r w:rsidR="00C57945" w:rsidRPr="00B119D2">
        <w:rPr>
          <w:rFonts w:ascii="Arial" w:hAnsi="Arial" w:cs="Arial"/>
          <w:sz w:val="24"/>
          <w:szCs w:val="24"/>
        </w:rPr>
        <w:t>Amazónicas</w:t>
      </w:r>
      <w:r w:rsidRPr="00B119D2">
        <w:rPr>
          <w:rFonts w:ascii="Arial" w:hAnsi="Arial" w:cs="Arial"/>
          <w:sz w:val="24"/>
          <w:szCs w:val="24"/>
        </w:rPr>
        <w:t xml:space="preserve"> "una sociedad civil, no gubernamental, sin fines de lucro, cuyos objetivos esencialmente educativos y culturales, busca a través de la cooperación científica, tecnológica y cultural de países amazónicos (Bolivia, Brasil, Colombia, Ecuador, Guyana, Perú, Surinam y Venezuela).</w:t>
      </w:r>
    </w:p>
    <w:p w14:paraId="5704EE71" w14:textId="77777777" w:rsidR="00B119D2" w:rsidRPr="00B119D2" w:rsidRDefault="00B119D2" w:rsidP="007B7DFF">
      <w:pPr>
        <w:spacing w:line="360" w:lineRule="auto"/>
        <w:jc w:val="both"/>
        <w:rPr>
          <w:rFonts w:ascii="Arial" w:hAnsi="Arial" w:cs="Arial"/>
          <w:sz w:val="24"/>
          <w:szCs w:val="24"/>
        </w:rPr>
      </w:pPr>
    </w:p>
    <w:p w14:paraId="733C58AA" w14:textId="25E15406"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La preocupaciones explicitadas en la </w:t>
      </w:r>
      <w:r w:rsidR="000F5F21" w:rsidRPr="00B119D2">
        <w:rPr>
          <w:rFonts w:ascii="Arial" w:hAnsi="Arial" w:cs="Arial"/>
          <w:sz w:val="24"/>
          <w:szCs w:val="24"/>
        </w:rPr>
        <w:t>página</w:t>
      </w:r>
      <w:r w:rsidRPr="00B119D2">
        <w:rPr>
          <w:rFonts w:ascii="Arial" w:hAnsi="Arial" w:cs="Arial"/>
          <w:sz w:val="24"/>
          <w:szCs w:val="24"/>
        </w:rPr>
        <w:t xml:space="preserve"> de esta institución esta </w:t>
      </w:r>
      <w:r w:rsidR="000F5F21" w:rsidRPr="00B119D2">
        <w:rPr>
          <w:rFonts w:ascii="Arial" w:hAnsi="Arial" w:cs="Arial"/>
          <w:sz w:val="24"/>
          <w:szCs w:val="24"/>
        </w:rPr>
        <w:t>más</w:t>
      </w:r>
      <w:r w:rsidRPr="00B119D2">
        <w:rPr>
          <w:rFonts w:ascii="Arial" w:hAnsi="Arial" w:cs="Arial"/>
          <w:sz w:val="24"/>
          <w:szCs w:val="24"/>
        </w:rPr>
        <w:t xml:space="preserve"> relacionado con el desarrollo económico y resolver problemas específicos de medio ambiente y salud de la región</w:t>
      </w:r>
    </w:p>
    <w:p w14:paraId="6D225602"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Tutorías en México</w:t>
      </w:r>
    </w:p>
    <w:p w14:paraId="594A8C6D" w14:textId="397C1F0A"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Parece ser que como en otros terrenos de la vida universitaria es partir de la propuesta </w:t>
      </w:r>
      <w:r w:rsidR="000F5F21" w:rsidRPr="00B119D2">
        <w:rPr>
          <w:rFonts w:ascii="Arial" w:hAnsi="Arial" w:cs="Arial"/>
          <w:sz w:val="24"/>
          <w:szCs w:val="24"/>
        </w:rPr>
        <w:t>de la</w:t>
      </w:r>
      <w:r w:rsidRPr="00B119D2">
        <w:rPr>
          <w:rFonts w:ascii="Arial" w:hAnsi="Arial" w:cs="Arial"/>
          <w:sz w:val="24"/>
          <w:szCs w:val="24"/>
        </w:rPr>
        <w:t xml:space="preserve"> ANUIES-Asociación Nacional de Universidades en el año 2001 en donde se impulsa a implementar un sistema institucional de tutorías que adoptan una gran cantidad de Universidades Mexicanas</w:t>
      </w:r>
    </w:p>
    <w:p w14:paraId="1BFA1BA0" w14:textId="77777777" w:rsidR="00B119D2" w:rsidRPr="00B119D2" w:rsidRDefault="00B119D2" w:rsidP="007B7DFF">
      <w:pPr>
        <w:spacing w:line="360" w:lineRule="auto"/>
        <w:jc w:val="both"/>
        <w:rPr>
          <w:rFonts w:ascii="Arial" w:hAnsi="Arial" w:cs="Arial"/>
          <w:sz w:val="24"/>
          <w:szCs w:val="24"/>
        </w:rPr>
      </w:pPr>
    </w:p>
    <w:p w14:paraId="65027D6C"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lastRenderedPageBreak/>
        <w:t>Tutorías en Brasil</w:t>
      </w:r>
    </w:p>
    <w:p w14:paraId="2B929032" w14:textId="77777777" w:rsidR="00B119D2" w:rsidRPr="00B119D2" w:rsidRDefault="00B119D2" w:rsidP="007B7DFF">
      <w:pPr>
        <w:spacing w:line="360" w:lineRule="auto"/>
        <w:jc w:val="both"/>
        <w:rPr>
          <w:rFonts w:ascii="Arial" w:hAnsi="Arial" w:cs="Arial"/>
          <w:sz w:val="24"/>
          <w:szCs w:val="24"/>
        </w:rPr>
      </w:pPr>
    </w:p>
    <w:p w14:paraId="30B2A096" w14:textId="5BFF4C6A"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En el caso de Brasil, la estrategia para poder lograr un acceso más extendido de la población es la de intensificar las alternativas de educación universitaria a distancia, lo que permitiría llegar a un mayor número de potenciales alumnos, en este sentido hay distintos trabajos relacionados con la tutoría virtual, ya que esta modalidad de enseñanza exige una participación más activa del alumno, y por lo tanto un rol diferente del docente, que en este caso se lo suele denominar tutor. No </w:t>
      </w:r>
      <w:r w:rsidR="000F5F21" w:rsidRPr="00B119D2">
        <w:rPr>
          <w:rFonts w:ascii="Arial" w:hAnsi="Arial" w:cs="Arial"/>
          <w:sz w:val="24"/>
          <w:szCs w:val="24"/>
        </w:rPr>
        <w:t>pudimos encontrar</w:t>
      </w:r>
      <w:r w:rsidRPr="00B119D2">
        <w:rPr>
          <w:rFonts w:ascii="Arial" w:hAnsi="Arial" w:cs="Arial"/>
          <w:sz w:val="24"/>
          <w:szCs w:val="24"/>
        </w:rPr>
        <w:t xml:space="preserve"> material sobre la tutoría presencial, </w:t>
      </w:r>
      <w:r w:rsidR="000F5F21" w:rsidRPr="00B119D2">
        <w:rPr>
          <w:rFonts w:ascii="Arial" w:hAnsi="Arial" w:cs="Arial"/>
          <w:sz w:val="24"/>
          <w:szCs w:val="24"/>
        </w:rPr>
        <w:t>más</w:t>
      </w:r>
      <w:r w:rsidRPr="00B119D2">
        <w:rPr>
          <w:rFonts w:ascii="Arial" w:hAnsi="Arial" w:cs="Arial"/>
          <w:sz w:val="24"/>
          <w:szCs w:val="24"/>
        </w:rPr>
        <w:t xml:space="preserve"> allá de algunas experiencias relacionadas con tutorías de tipo académica en carreras especificas en algunas materias.</w:t>
      </w:r>
    </w:p>
    <w:p w14:paraId="4FC76CD6" w14:textId="77777777" w:rsidR="00B119D2" w:rsidRPr="00B119D2" w:rsidRDefault="00B119D2" w:rsidP="007B7DFF">
      <w:pPr>
        <w:spacing w:line="360" w:lineRule="auto"/>
        <w:jc w:val="both"/>
        <w:rPr>
          <w:rFonts w:ascii="Arial" w:hAnsi="Arial" w:cs="Arial"/>
          <w:sz w:val="24"/>
          <w:szCs w:val="24"/>
        </w:rPr>
      </w:pPr>
    </w:p>
    <w:p w14:paraId="30A73F7C" w14:textId="77777777" w:rsidR="00B119D2" w:rsidRPr="00B119D2" w:rsidRDefault="00B119D2" w:rsidP="007B7DFF">
      <w:pPr>
        <w:spacing w:line="360" w:lineRule="auto"/>
        <w:jc w:val="both"/>
        <w:rPr>
          <w:rFonts w:ascii="Arial" w:hAnsi="Arial" w:cs="Arial"/>
          <w:sz w:val="24"/>
          <w:szCs w:val="24"/>
        </w:rPr>
      </w:pPr>
    </w:p>
    <w:p w14:paraId="1B3B478C" w14:textId="77777777" w:rsidR="00B119D2" w:rsidRPr="00B119D2" w:rsidRDefault="00B119D2" w:rsidP="007B7DFF">
      <w:pPr>
        <w:spacing w:line="360" w:lineRule="auto"/>
        <w:jc w:val="both"/>
        <w:rPr>
          <w:rFonts w:ascii="Arial" w:hAnsi="Arial" w:cs="Arial"/>
          <w:sz w:val="24"/>
          <w:szCs w:val="24"/>
        </w:rPr>
      </w:pPr>
    </w:p>
    <w:p w14:paraId="4C3494FC"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Las tutorías en Chile </w:t>
      </w:r>
    </w:p>
    <w:p w14:paraId="18445A32"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(Artículo del diario “La Tercera” de fines de 2006 menciona lo siguiente:</w:t>
      </w:r>
    </w:p>
    <w:p w14:paraId="1144F10E" w14:textId="77777777" w:rsidR="00B119D2" w:rsidRPr="00B119D2" w:rsidRDefault="00B119D2" w:rsidP="007B7DFF">
      <w:pPr>
        <w:spacing w:line="360" w:lineRule="auto"/>
        <w:jc w:val="both"/>
        <w:rPr>
          <w:rFonts w:ascii="Arial" w:hAnsi="Arial" w:cs="Arial"/>
          <w:sz w:val="24"/>
          <w:szCs w:val="24"/>
        </w:rPr>
      </w:pPr>
    </w:p>
    <w:p w14:paraId="1CE0651A"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Si bien a partir de 2007 Chile adopta su propio sistema de movilidad estudiantil, lo que impulsa las tutorías, por el momento son pocos los planteles que las han adoptado. “Las tutorías están instaladas de un modo informal. En algunos casos forma parte del proyecto de la universidad, lo que depende del número de académicos con jornada completa de la universidad, porque de la disponibilidad de tiempo depende que el sistema se implemente bien”, explica Erika Himmel, experta en evaluación educacional de la UC.</w:t>
      </w:r>
    </w:p>
    <w:p w14:paraId="67936711" w14:textId="77777777" w:rsidR="00B119D2" w:rsidRPr="00B119D2" w:rsidRDefault="00B119D2" w:rsidP="007B7DFF">
      <w:pPr>
        <w:spacing w:line="360" w:lineRule="auto"/>
        <w:jc w:val="both"/>
        <w:rPr>
          <w:rFonts w:ascii="Arial" w:hAnsi="Arial" w:cs="Arial"/>
          <w:sz w:val="24"/>
          <w:szCs w:val="24"/>
        </w:rPr>
      </w:pPr>
    </w:p>
    <w:p w14:paraId="1CE5E21A"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En cambio, la mayoría de las universidades ha optado por las ayudantías, clases de reforzamiento que forman parte de la malla obligatoria y que se dictan para un curso completo. Las tutorías, en cambio, son sesiones voluntarias de guía y </w:t>
      </w:r>
      <w:r w:rsidRPr="00B119D2">
        <w:rPr>
          <w:rFonts w:ascii="Arial" w:hAnsi="Arial" w:cs="Arial"/>
          <w:sz w:val="24"/>
          <w:szCs w:val="24"/>
        </w:rPr>
        <w:lastRenderedPageBreak/>
        <w:t>apoyo entre un alumno y un profesor, o un estudiante de cursos superiores que realiza el seguimiento del alumno.</w:t>
      </w:r>
    </w:p>
    <w:p w14:paraId="3A1FBAA4" w14:textId="77777777" w:rsidR="00B119D2" w:rsidRPr="00B119D2" w:rsidRDefault="00B119D2" w:rsidP="007B7DFF">
      <w:pPr>
        <w:spacing w:line="360" w:lineRule="auto"/>
        <w:jc w:val="both"/>
        <w:rPr>
          <w:rFonts w:ascii="Arial" w:hAnsi="Arial" w:cs="Arial"/>
          <w:sz w:val="24"/>
          <w:szCs w:val="24"/>
        </w:rPr>
      </w:pPr>
    </w:p>
    <w:p w14:paraId="6E47EC15" w14:textId="27B589D1"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Las tutorías en la Universidad de la </w:t>
      </w:r>
      <w:r w:rsidR="000F5F21" w:rsidRPr="00B119D2">
        <w:rPr>
          <w:rFonts w:ascii="Arial" w:hAnsi="Arial" w:cs="Arial"/>
          <w:sz w:val="24"/>
          <w:szCs w:val="24"/>
        </w:rPr>
        <w:t>República</w:t>
      </w:r>
      <w:r w:rsidRPr="00B119D2">
        <w:rPr>
          <w:rFonts w:ascii="Arial" w:hAnsi="Arial" w:cs="Arial"/>
          <w:sz w:val="24"/>
          <w:szCs w:val="24"/>
        </w:rPr>
        <w:t>, en Uruguay</w:t>
      </w:r>
    </w:p>
    <w:p w14:paraId="5838DEE8" w14:textId="7328A22A"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Respecto del tema de la equidad en el plan estratégico de dicha Universidad 2005 -2009 en lo </w:t>
      </w:r>
      <w:r w:rsidR="000F5F21" w:rsidRPr="00B119D2">
        <w:rPr>
          <w:rFonts w:ascii="Arial" w:hAnsi="Arial" w:cs="Arial"/>
          <w:sz w:val="24"/>
          <w:szCs w:val="24"/>
        </w:rPr>
        <w:t>referido al</w:t>
      </w:r>
      <w:r w:rsidRPr="00B119D2">
        <w:rPr>
          <w:rFonts w:ascii="Arial" w:hAnsi="Arial" w:cs="Arial"/>
          <w:sz w:val="24"/>
          <w:szCs w:val="24"/>
        </w:rPr>
        <w:t xml:space="preserve"> tema Promoción y Desarrollo del Bienestar de Estudiantes y Funcionarios de la Universidad de la República se mencionan el otorgamiento de becas, y programas relativos a la alimentación, salud y actividades deportivas, no se mencionan otro tipo de iniciativas</w:t>
      </w:r>
    </w:p>
    <w:p w14:paraId="5C1221B7" w14:textId="77777777" w:rsidR="00B119D2" w:rsidRPr="00B119D2" w:rsidRDefault="00B119D2" w:rsidP="007B7DFF">
      <w:pPr>
        <w:spacing w:line="360" w:lineRule="auto"/>
        <w:jc w:val="both"/>
        <w:rPr>
          <w:rFonts w:ascii="Arial" w:hAnsi="Arial" w:cs="Arial"/>
          <w:sz w:val="24"/>
          <w:szCs w:val="24"/>
        </w:rPr>
      </w:pPr>
    </w:p>
    <w:p w14:paraId="660F4B1D"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2.3</w:t>
      </w:r>
      <w:r w:rsidRPr="00B119D2">
        <w:rPr>
          <w:rFonts w:ascii="Arial" w:hAnsi="Arial" w:cs="Arial"/>
          <w:sz w:val="24"/>
          <w:szCs w:val="24"/>
        </w:rPr>
        <w:tab/>
        <w:t>– La situación en Argentina</w:t>
      </w:r>
    </w:p>
    <w:p w14:paraId="73C17FAF" w14:textId="77777777" w:rsidR="00B119D2" w:rsidRPr="00B119D2" w:rsidRDefault="00B119D2" w:rsidP="007B7DFF">
      <w:pPr>
        <w:spacing w:line="360" w:lineRule="auto"/>
        <w:jc w:val="both"/>
        <w:rPr>
          <w:rFonts w:ascii="Arial" w:hAnsi="Arial" w:cs="Arial"/>
          <w:sz w:val="24"/>
          <w:szCs w:val="24"/>
        </w:rPr>
      </w:pPr>
    </w:p>
    <w:p w14:paraId="614C48D8" w14:textId="7C13F483"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Mas allá de algunos antecedentes de tutorías en Universidades Argentinas, a partir de la creación de </w:t>
      </w:r>
      <w:r w:rsidR="000F5F21" w:rsidRPr="00B119D2">
        <w:rPr>
          <w:rFonts w:ascii="Arial" w:hAnsi="Arial" w:cs="Arial"/>
          <w:sz w:val="24"/>
          <w:szCs w:val="24"/>
        </w:rPr>
        <w:t>la C.O.N.E.A.U</w:t>
      </w:r>
      <w:r w:rsidRPr="00B119D2">
        <w:rPr>
          <w:rFonts w:ascii="Arial" w:hAnsi="Arial" w:cs="Arial"/>
          <w:sz w:val="24"/>
          <w:szCs w:val="24"/>
        </w:rPr>
        <w:t xml:space="preserve"> en 1996 y siendo una de las funciones la acreditación de las carreras universitarias desde el año 2000, comienzan a gestionarse programas de auditoría ,especialmente en las Carreras de </w:t>
      </w:r>
      <w:r w:rsidR="00057471" w:rsidRPr="00B119D2">
        <w:rPr>
          <w:rFonts w:ascii="Arial" w:hAnsi="Arial" w:cs="Arial"/>
          <w:sz w:val="24"/>
          <w:szCs w:val="24"/>
        </w:rPr>
        <w:t>Ingeniería En</w:t>
      </w:r>
      <w:r w:rsidRPr="00B119D2">
        <w:rPr>
          <w:rFonts w:ascii="Arial" w:hAnsi="Arial" w:cs="Arial"/>
          <w:sz w:val="24"/>
          <w:szCs w:val="24"/>
        </w:rPr>
        <w:t xml:space="preserve"> el año 2006 se crea el programa PROMEI ( programa para el mejoramiento de la ingeniería 2005-2088). También en el año 2009 se crea el Programa PACENI (Proyecto de Apoyo para el Mejoramiento de la Enseñanza en primer año de las Carreras de Grado de Ciencias Exactas, Químicas; Ciencias Económicas e Informática) .</w:t>
      </w:r>
    </w:p>
    <w:p w14:paraId="46937271"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Es entonces que la mayoría de las universidades nacionales comienzan a adoptar esta metodología de intervención para tratar de resolver distintas problemáticas que afectan a la vida universitaria.</w:t>
      </w:r>
    </w:p>
    <w:p w14:paraId="219A2914" w14:textId="77777777" w:rsidR="00B119D2" w:rsidRPr="00B119D2" w:rsidRDefault="00B119D2" w:rsidP="007B7DFF">
      <w:pPr>
        <w:spacing w:line="360" w:lineRule="auto"/>
        <w:jc w:val="both"/>
        <w:rPr>
          <w:rFonts w:ascii="Arial" w:hAnsi="Arial" w:cs="Arial"/>
          <w:sz w:val="24"/>
          <w:szCs w:val="24"/>
        </w:rPr>
      </w:pPr>
    </w:p>
    <w:p w14:paraId="32269771" w14:textId="1FF17728"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Sintetizando se podría </w:t>
      </w:r>
      <w:r w:rsidR="000F5F21" w:rsidRPr="00B119D2">
        <w:rPr>
          <w:rFonts w:ascii="Arial" w:hAnsi="Arial" w:cs="Arial"/>
          <w:sz w:val="24"/>
          <w:szCs w:val="24"/>
        </w:rPr>
        <w:t>mencionar las</w:t>
      </w:r>
      <w:r w:rsidRPr="00B119D2">
        <w:rPr>
          <w:rFonts w:ascii="Arial" w:hAnsi="Arial" w:cs="Arial"/>
          <w:sz w:val="24"/>
          <w:szCs w:val="24"/>
        </w:rPr>
        <w:t xml:space="preserve"> siguientes áreas de preocupación</w:t>
      </w:r>
    </w:p>
    <w:p w14:paraId="0D8CA637" w14:textId="77777777" w:rsidR="00B119D2" w:rsidRPr="00B119D2" w:rsidRDefault="00B119D2" w:rsidP="007B7DFF">
      <w:pPr>
        <w:spacing w:line="360" w:lineRule="auto"/>
        <w:jc w:val="both"/>
        <w:rPr>
          <w:rFonts w:ascii="Arial" w:hAnsi="Arial" w:cs="Arial"/>
          <w:sz w:val="24"/>
          <w:szCs w:val="24"/>
        </w:rPr>
      </w:pPr>
    </w:p>
    <w:p w14:paraId="67D14F7D"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1.</w:t>
      </w:r>
      <w:r w:rsidRPr="00B119D2">
        <w:rPr>
          <w:rFonts w:ascii="Arial" w:hAnsi="Arial" w:cs="Arial"/>
          <w:sz w:val="24"/>
          <w:szCs w:val="24"/>
        </w:rPr>
        <w:tab/>
        <w:t xml:space="preserve">Expansión y masividad de la matricula </w:t>
      </w:r>
    </w:p>
    <w:p w14:paraId="63E36180"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2.</w:t>
      </w:r>
      <w:r w:rsidRPr="00B119D2">
        <w:rPr>
          <w:rFonts w:ascii="Arial" w:hAnsi="Arial" w:cs="Arial"/>
          <w:sz w:val="24"/>
          <w:szCs w:val="24"/>
        </w:rPr>
        <w:tab/>
        <w:t>Deterioro de la Calidad Educativa</w:t>
      </w:r>
    </w:p>
    <w:p w14:paraId="25204557"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lastRenderedPageBreak/>
        <w:t>3.</w:t>
      </w:r>
      <w:r w:rsidRPr="00B119D2">
        <w:rPr>
          <w:rFonts w:ascii="Arial" w:hAnsi="Arial" w:cs="Arial"/>
          <w:sz w:val="24"/>
          <w:szCs w:val="24"/>
        </w:rPr>
        <w:tab/>
        <w:t>Ampliación de las desigualdades</w:t>
      </w:r>
    </w:p>
    <w:p w14:paraId="6210EC47"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4.</w:t>
      </w:r>
      <w:r w:rsidRPr="00B119D2">
        <w:rPr>
          <w:rFonts w:ascii="Arial" w:hAnsi="Arial" w:cs="Arial"/>
          <w:sz w:val="24"/>
          <w:szCs w:val="24"/>
        </w:rPr>
        <w:tab/>
        <w:t>Descentralización de los servicios educativos</w:t>
      </w:r>
    </w:p>
    <w:p w14:paraId="3E45392F" w14:textId="77777777" w:rsidR="00B119D2" w:rsidRPr="00B119D2" w:rsidRDefault="00B119D2" w:rsidP="007B7DFF">
      <w:pPr>
        <w:spacing w:line="360" w:lineRule="auto"/>
        <w:jc w:val="both"/>
        <w:rPr>
          <w:rFonts w:ascii="Arial" w:hAnsi="Arial" w:cs="Arial"/>
          <w:sz w:val="24"/>
          <w:szCs w:val="24"/>
        </w:rPr>
      </w:pPr>
    </w:p>
    <w:p w14:paraId="00AF8E4E"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Como resultado de estas causas se producen algunos fenómenos que afectan los resultados esperados de la actividad universitaria y requieren un tratamiento específico para corregirlos</w:t>
      </w:r>
    </w:p>
    <w:p w14:paraId="69F2EBB9"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Daniel Filmus (1996), analiza las principales tendencias en el sistema educativo argentino actual y plantea: </w:t>
      </w:r>
    </w:p>
    <w:p w14:paraId="274A0A8D"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"Producto de la apertura de nuevas oportunidades educativas y la incesante demanda de la población, la expansión de la matricula en todos los niveles ha sido la característica principal del período. Pero las limitaciones presupuestarias propias de la crisis fiscal ya mencionada, sumadas en algunos casos a políticas que no privilegiaron la calidad de la educación, a los históricos problemas de ineficiencia y burocratización, a las nuevas demandas asistenciales que tuvieron que satisfacer las escuelas y a procesos específicamente pedagógicos, provocaron que la masificación estuviera acompañada por procesos que atenuaron su carácter democratizador". (Filmus: 1996)</w:t>
      </w:r>
    </w:p>
    <w:p w14:paraId="5E838934"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El autor refiere, además a cuatro procesos principales, que según su criterio, caracterizan al Sistema Educativo actual: </w:t>
      </w:r>
    </w:p>
    <w:p w14:paraId="773382C1"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1) Expansión de la matricula: El aumento de las tasas de escolarización en la totalidad de los niveles es el proceso que caracterizó más fuertemente todo este periodo, (décadas del 80 y 90). </w:t>
      </w:r>
    </w:p>
    <w:p w14:paraId="0E2C116A"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2) Deterioro de la calidad educativa: En la actualidad, haber transitado más tiempo por la escuela no garantiza el acceso a los conocimientos socialmente significativos que se requieren para la participación social plena. </w:t>
      </w:r>
    </w:p>
    <w:p w14:paraId="4BA4C72E"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3) Ampliación de las desigualdades: Actualmente, las oportunidades educativas de nuestra población están claramente diferenciadas, tanto por su posibilidad de acceso y permanencia a los diferentes niveles del sistema, como por la cantidad y calidad de los conocimientos que se adquieren en las instituciones escolares. </w:t>
      </w:r>
    </w:p>
    <w:p w14:paraId="0B7A07FB"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lastRenderedPageBreak/>
        <w:t xml:space="preserve">4) Descentralización de los servicios educativos: Una de las transformaciones más profundas que se han realizado en el Sistema Educativo Argentino, en los últimos años, ha sido la transferencia de los servicios educativos nacionales a las jurisdicciones provinciales y municipales. </w:t>
      </w:r>
    </w:p>
    <w:p w14:paraId="6390DA9C" w14:textId="340509ED"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La Universidad, en tanto institución educativa, no queda al margen de los avatares de la historia y los determinantes sociales, es una construcción social en la cual se da un </w:t>
      </w:r>
      <w:r w:rsidR="00737E76" w:rsidRPr="00B119D2">
        <w:rPr>
          <w:rFonts w:ascii="Arial" w:hAnsi="Arial" w:cs="Arial"/>
          <w:sz w:val="24"/>
          <w:szCs w:val="24"/>
        </w:rPr>
        <w:t>Inter juego</w:t>
      </w:r>
      <w:r w:rsidRPr="00B119D2">
        <w:rPr>
          <w:rFonts w:ascii="Arial" w:hAnsi="Arial" w:cs="Arial"/>
          <w:sz w:val="24"/>
          <w:szCs w:val="24"/>
        </w:rPr>
        <w:t xml:space="preserve"> constante entre fuerzas instituidas, que promueven la estabilidad y la reproducción y fuerzas instituyentes, tendientes a la transformación. </w:t>
      </w:r>
    </w:p>
    <w:p w14:paraId="471F75E0"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La Universidad no es una entidad aislada de su contexto sino, explícita o implícitamente, está en constante interacción con el mismo. La sociedad “mira” permanentemente a la institución, la evalúa, la juzga, la imagina. La sociedad construye distintas representaciones e imágenes, en algunos casos distorsionadas o difusas, respecto a la institución, sus objetivos y sus logros. Por ello, la Universidad Pública no puede mantenerse ajena a las problemáticas que aquejan a los sujetos, dentro y fuera de la misma. Deberá ejecutar acciones tendientes a promover cambios no sólo en el contexto educativo, sino también en la sociedad en general. La situación actual de la sociedad argentina, caracterizada por la pobreza, la exclusión y la marginación, no puede quedar fuera de las puertas del campus universitario. Esta cita gráfica con precisión: </w:t>
      </w:r>
    </w:p>
    <w:p w14:paraId="1CF9FF19"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“Los resultados de la deserción, permanencia y tasa de egreso siguen siendo altamente deficitarios mirados desde la perspectiva del número elevado de alumnos que desaprueban los primeros parciales, que quedan libres tras el cursado o no logran aprobar los exámenes finales; pero además, lo más preocupante es que este proceso se ve acompañado por un desgranamiento progresivo de los ingresantes -fundamentalmente en el primer cuatrimestre- y por una deserción numéricamente significativa que año tras año sigue manifestándose pese a los importantes esfuerzos que la institución realiza para revertir tal situación.” (Moyano: 2002)</w:t>
      </w:r>
    </w:p>
    <w:p w14:paraId="3DBC2B10"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Así, queda delimitado el compromiso y legado social del cual la Universidad no puede prescindir asumirlo como compromiso e imperativo de resolución. </w:t>
      </w:r>
    </w:p>
    <w:p w14:paraId="76CCDB80" w14:textId="77777777" w:rsidR="00B119D2" w:rsidRPr="00B119D2" w:rsidRDefault="00B119D2" w:rsidP="007B7DFF">
      <w:pPr>
        <w:spacing w:line="360" w:lineRule="auto"/>
        <w:jc w:val="both"/>
        <w:rPr>
          <w:rFonts w:ascii="Arial" w:hAnsi="Arial" w:cs="Arial"/>
          <w:sz w:val="24"/>
          <w:szCs w:val="24"/>
        </w:rPr>
      </w:pPr>
    </w:p>
    <w:p w14:paraId="2C0DC3C6" w14:textId="77777777" w:rsidR="00B119D2" w:rsidRPr="00B119D2" w:rsidRDefault="00B119D2" w:rsidP="007B7DFF">
      <w:pPr>
        <w:spacing w:line="360" w:lineRule="auto"/>
        <w:jc w:val="both"/>
        <w:rPr>
          <w:rFonts w:ascii="Arial" w:hAnsi="Arial" w:cs="Arial"/>
          <w:sz w:val="24"/>
          <w:szCs w:val="24"/>
        </w:rPr>
      </w:pPr>
    </w:p>
    <w:p w14:paraId="271C4997"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2.4</w:t>
      </w:r>
      <w:r w:rsidRPr="00B119D2">
        <w:rPr>
          <w:rFonts w:ascii="Arial" w:hAnsi="Arial" w:cs="Arial"/>
          <w:sz w:val="24"/>
          <w:szCs w:val="24"/>
        </w:rPr>
        <w:tab/>
        <w:t>–Las universidades nacionales en la provincia de Buenos Aires</w:t>
      </w:r>
    </w:p>
    <w:p w14:paraId="0F3C5539" w14:textId="77777777" w:rsidR="00EF3BB9" w:rsidRDefault="00B119D2" w:rsidP="007B7DFF">
      <w:pPr>
        <w:spacing w:line="360" w:lineRule="auto"/>
        <w:jc w:val="both"/>
        <w:rPr>
          <w:rFonts w:ascii="Arial" w:hAnsi="Arial" w:cs="Arial"/>
          <w:sz w:val="24"/>
          <w:szCs w:val="24"/>
        </w:rPr>
      </w:pPr>
      <w:r w:rsidRPr="00B119D2">
        <w:rPr>
          <w:rFonts w:ascii="Arial" w:hAnsi="Arial" w:cs="Arial"/>
          <w:sz w:val="24"/>
          <w:szCs w:val="24"/>
        </w:rPr>
        <w:t>En el año 2009 las siete universidades públicas de Buenos Aires, Argentina, se unieron para formar la Red de Universidades Nacionales del Conurbano Bonaerense (RUNCob). Las instituciones que conforman esta agrupación son:</w:t>
      </w:r>
    </w:p>
    <w:p w14:paraId="0B095AFF" w14:textId="77777777" w:rsidR="00EF3BB9" w:rsidRPr="00EF3BB9" w:rsidRDefault="00EF3BB9" w:rsidP="00EF3BB9">
      <w:pPr>
        <w:spacing w:line="360" w:lineRule="auto"/>
        <w:jc w:val="both"/>
        <w:rPr>
          <w:rFonts w:ascii="Arial" w:hAnsi="Arial" w:cs="Arial"/>
          <w:sz w:val="24"/>
          <w:szCs w:val="24"/>
        </w:rPr>
      </w:pPr>
      <w:r w:rsidRPr="00EF3BB9">
        <w:rPr>
          <w:rFonts w:ascii="Arial" w:hAnsi="Arial" w:cs="Arial"/>
          <w:sz w:val="24"/>
          <w:szCs w:val="24"/>
        </w:rPr>
        <w:t>Universidad Nacional de Quilmes(UNQ)</w:t>
      </w:r>
    </w:p>
    <w:p w14:paraId="00F48CC2" w14:textId="77777777" w:rsidR="00EF3BB9" w:rsidRPr="00EF3BB9" w:rsidRDefault="00EF3BB9" w:rsidP="00EF3BB9">
      <w:pPr>
        <w:spacing w:line="360" w:lineRule="auto"/>
        <w:jc w:val="both"/>
        <w:rPr>
          <w:rFonts w:ascii="Arial" w:hAnsi="Arial" w:cs="Arial"/>
          <w:sz w:val="24"/>
          <w:szCs w:val="24"/>
        </w:rPr>
      </w:pPr>
      <w:r w:rsidRPr="00EF3BB9">
        <w:rPr>
          <w:rFonts w:ascii="Arial" w:hAnsi="Arial" w:cs="Arial"/>
          <w:sz w:val="24"/>
          <w:szCs w:val="24"/>
        </w:rPr>
        <w:t>Universidad Nacional de San Martín (UNSAM)</w:t>
      </w:r>
    </w:p>
    <w:p w14:paraId="40C890B8" w14:textId="77777777" w:rsidR="00EF3BB9" w:rsidRPr="00EF3BB9" w:rsidRDefault="00EF3BB9" w:rsidP="00EF3BB9">
      <w:pPr>
        <w:spacing w:line="360" w:lineRule="auto"/>
        <w:jc w:val="both"/>
        <w:rPr>
          <w:rFonts w:ascii="Arial" w:hAnsi="Arial" w:cs="Arial"/>
          <w:sz w:val="24"/>
          <w:szCs w:val="24"/>
        </w:rPr>
      </w:pPr>
      <w:r w:rsidRPr="00EF3BB9">
        <w:rPr>
          <w:rFonts w:ascii="Arial" w:hAnsi="Arial" w:cs="Arial"/>
          <w:sz w:val="24"/>
          <w:szCs w:val="24"/>
        </w:rPr>
        <w:t>Universidad Nacional de Tres de Febrero  (UNTREF)</w:t>
      </w:r>
    </w:p>
    <w:p w14:paraId="6964BD0E" w14:textId="77777777" w:rsidR="00EF3BB9" w:rsidRPr="00EF3BB9" w:rsidRDefault="00EF3BB9" w:rsidP="00EF3BB9">
      <w:pPr>
        <w:spacing w:line="360" w:lineRule="auto"/>
        <w:jc w:val="both"/>
        <w:rPr>
          <w:rFonts w:ascii="Arial" w:hAnsi="Arial" w:cs="Arial"/>
          <w:sz w:val="24"/>
          <w:szCs w:val="24"/>
        </w:rPr>
      </w:pPr>
      <w:r w:rsidRPr="00EF3BB9">
        <w:rPr>
          <w:rFonts w:ascii="Arial" w:hAnsi="Arial" w:cs="Arial"/>
          <w:sz w:val="24"/>
          <w:szCs w:val="24"/>
        </w:rPr>
        <w:t>Universidad Nacional de La Matanza  (UNLaM)</w:t>
      </w:r>
    </w:p>
    <w:p w14:paraId="58B5C210" w14:textId="77777777" w:rsidR="00EF3BB9" w:rsidRPr="00EF3BB9" w:rsidRDefault="00EF3BB9" w:rsidP="00EF3BB9">
      <w:pPr>
        <w:spacing w:line="360" w:lineRule="auto"/>
        <w:jc w:val="both"/>
        <w:rPr>
          <w:rFonts w:ascii="Arial" w:hAnsi="Arial" w:cs="Arial"/>
          <w:sz w:val="24"/>
          <w:szCs w:val="24"/>
        </w:rPr>
      </w:pPr>
      <w:r w:rsidRPr="00EF3BB9">
        <w:rPr>
          <w:rFonts w:ascii="Arial" w:hAnsi="Arial" w:cs="Arial"/>
          <w:sz w:val="24"/>
          <w:szCs w:val="24"/>
        </w:rPr>
        <w:t>Universidad Nacional de Lomas de Zamora  (UNLZ)</w:t>
      </w:r>
    </w:p>
    <w:p w14:paraId="4FE2C2F1" w14:textId="77777777" w:rsidR="00EF3BB9" w:rsidRPr="00EF3BB9" w:rsidRDefault="00EF3BB9" w:rsidP="00EF3BB9">
      <w:pPr>
        <w:spacing w:line="360" w:lineRule="auto"/>
        <w:jc w:val="both"/>
        <w:rPr>
          <w:rFonts w:ascii="Arial" w:hAnsi="Arial" w:cs="Arial"/>
          <w:sz w:val="24"/>
          <w:szCs w:val="24"/>
        </w:rPr>
      </w:pPr>
      <w:r w:rsidRPr="00EF3BB9">
        <w:rPr>
          <w:rFonts w:ascii="Arial" w:hAnsi="Arial" w:cs="Arial"/>
          <w:sz w:val="24"/>
          <w:szCs w:val="24"/>
        </w:rPr>
        <w:t>Universidad Nacional de General Sarmiento  (UNGS)</w:t>
      </w:r>
    </w:p>
    <w:p w14:paraId="05589D2A" w14:textId="162FD7B9" w:rsidR="00EF3BB9" w:rsidRDefault="00697CD3" w:rsidP="007B7DFF">
      <w:pPr>
        <w:spacing w:line="360" w:lineRule="auto"/>
        <w:jc w:val="both"/>
        <w:rPr>
          <w:rFonts w:ascii="Arial" w:hAnsi="Arial" w:cs="Arial"/>
          <w:sz w:val="24"/>
          <w:szCs w:val="24"/>
        </w:rPr>
      </w:pPr>
      <w:r w:rsidRPr="00697CD3">
        <w:rPr>
          <w:rFonts w:ascii="Arial" w:hAnsi="Arial" w:cs="Arial"/>
          <w:sz w:val="24"/>
          <w:szCs w:val="24"/>
        </w:rPr>
        <w:t xml:space="preserve">Universidad de Lanús (UNLA) </w:t>
      </w:r>
    </w:p>
    <w:p w14:paraId="7D28A6D9" w14:textId="69B2CFB8"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Tutorías</w:t>
      </w:r>
      <w:r w:rsidR="00007A4E">
        <w:rPr>
          <w:rFonts w:ascii="Arial" w:hAnsi="Arial" w:cs="Arial"/>
          <w:sz w:val="24"/>
          <w:szCs w:val="24"/>
        </w:rPr>
        <w:t xml:space="preserve"> en Unla</w:t>
      </w:r>
    </w:p>
    <w:p w14:paraId="1B95BEF5" w14:textId="18A82E0C"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Desde su creación, la </w:t>
      </w:r>
      <w:r w:rsidR="007B7DFF" w:rsidRPr="00B119D2">
        <w:rPr>
          <w:rFonts w:ascii="Arial" w:hAnsi="Arial" w:cs="Arial"/>
          <w:sz w:val="24"/>
          <w:szCs w:val="24"/>
        </w:rPr>
        <w:t>UNLa</w:t>
      </w:r>
      <w:r w:rsidR="007B7DFF">
        <w:rPr>
          <w:rFonts w:ascii="Arial" w:hAnsi="Arial" w:cs="Arial"/>
          <w:sz w:val="24"/>
          <w:szCs w:val="24"/>
        </w:rPr>
        <w:t>M</w:t>
      </w:r>
      <w:r w:rsidRPr="00B119D2">
        <w:rPr>
          <w:rFonts w:ascii="Arial" w:hAnsi="Arial" w:cs="Arial"/>
          <w:sz w:val="24"/>
          <w:szCs w:val="24"/>
        </w:rPr>
        <w:t xml:space="preserve"> ha ido desplegando distintas estrategias de acompañamiento y cuidado de sus estudiantes. Dichas estrategias abarcan desde el </w:t>
      </w:r>
      <w:r w:rsidR="000F5F21" w:rsidRPr="00B119D2">
        <w:rPr>
          <w:rFonts w:ascii="Arial" w:hAnsi="Arial" w:cs="Arial"/>
          <w:sz w:val="24"/>
          <w:szCs w:val="24"/>
        </w:rPr>
        <w:t>preingreso</w:t>
      </w:r>
      <w:r w:rsidRPr="00B119D2">
        <w:rPr>
          <w:rFonts w:ascii="Arial" w:hAnsi="Arial" w:cs="Arial"/>
          <w:sz w:val="24"/>
          <w:szCs w:val="24"/>
        </w:rPr>
        <w:t xml:space="preserve"> e ingreso (con los talleres de orientación vocacional, tutorías y talleres de lectura y escritura de textos académicos) hasta el egreso (tutorías disciplinares-metodológicas y de escritura de trabajos finales), con sus diversos puntos intermedios. Concretamente, en la actualidad, podrían mencionarse cinco espacios de tutorías: los docentes orientadores, las tutorías de lectura y escritura de textos académicos, las tutorías y el taller de matemática, las tutorías de Idiomas e Informática y las tutorías de apoyo a becarios.</w:t>
      </w:r>
    </w:p>
    <w:p w14:paraId="5ACB74AD" w14:textId="77777777" w:rsidR="00B119D2" w:rsidRPr="00B119D2" w:rsidRDefault="00B119D2" w:rsidP="007B7DFF">
      <w:pPr>
        <w:spacing w:line="360" w:lineRule="auto"/>
        <w:jc w:val="both"/>
        <w:rPr>
          <w:rFonts w:ascii="Arial" w:hAnsi="Arial" w:cs="Arial"/>
          <w:sz w:val="24"/>
          <w:szCs w:val="24"/>
        </w:rPr>
      </w:pPr>
    </w:p>
    <w:p w14:paraId="4A47E91D"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Los docentes orientadores</w:t>
      </w:r>
    </w:p>
    <w:p w14:paraId="43C6D653"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Partiendo de la convicción de que quien ingresa a la Universidad requiere de un acompañamiento personalizado para lograr su inserción, desde la Secretaría Académica se ha forjado la figura del Docente Orientador como aquel encargado de orientar a los estudiantes durante el primer tramo curricular de su carrera. A </w:t>
      </w:r>
      <w:r w:rsidRPr="00B119D2">
        <w:rPr>
          <w:rFonts w:ascii="Arial" w:hAnsi="Arial" w:cs="Arial"/>
          <w:sz w:val="24"/>
          <w:szCs w:val="24"/>
        </w:rPr>
        <w:lastRenderedPageBreak/>
        <w:t>tal fin, se propuso conformar un equipo de docentes orientadores encargados de fortalecer y sostener los vínculos del ingresante con la institución, contribuyendo, de este modo, tanto a disminuir los altos niveles de desgranamiento que se producen en el primer año de las carreras de grado como a “alojar” al estudiante en este nuevo contexto.</w:t>
      </w:r>
    </w:p>
    <w:p w14:paraId="3E19115C" w14:textId="77777777" w:rsidR="00B119D2" w:rsidRPr="00B119D2" w:rsidRDefault="00B119D2" w:rsidP="007B7DFF">
      <w:pPr>
        <w:spacing w:line="360" w:lineRule="auto"/>
        <w:jc w:val="both"/>
        <w:rPr>
          <w:rFonts w:ascii="Arial" w:hAnsi="Arial" w:cs="Arial"/>
          <w:sz w:val="24"/>
          <w:szCs w:val="24"/>
        </w:rPr>
      </w:pPr>
    </w:p>
    <w:p w14:paraId="62BBBCC7"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En ese marco, el equipo de docentes orientadores se aboca a acompañar, informar y motivar a los ingresantes. Entre las funciones que desempeñan se encuentran: promover el diálogo con autoridades para obtener información, elaborar propuestas para el abordaje de las problemáticas planteadas por los ingresantes, establecer canales de comunicación entre la institución y el ingresante, promover la continuación de los estudios y prevenir la deserción del alumno.</w:t>
      </w:r>
    </w:p>
    <w:p w14:paraId="57460DA3"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Tutorias de lectura y escritura de textos académicos</w:t>
      </w:r>
    </w:p>
    <w:p w14:paraId="3585FCE8" w14:textId="5BD1477B"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Tutorias y taller de </w:t>
      </w:r>
      <w:r w:rsidR="005A0E37" w:rsidRPr="00B119D2">
        <w:rPr>
          <w:rFonts w:ascii="Arial" w:hAnsi="Arial" w:cs="Arial"/>
          <w:sz w:val="24"/>
          <w:szCs w:val="24"/>
        </w:rPr>
        <w:t>matemáticas</w:t>
      </w:r>
    </w:p>
    <w:p w14:paraId="70443030" w14:textId="29FC0056" w:rsidR="00B119D2" w:rsidRPr="00B119D2" w:rsidRDefault="005A0E37" w:rsidP="007B7DFF">
      <w:pPr>
        <w:spacing w:line="360" w:lineRule="auto"/>
        <w:jc w:val="both"/>
        <w:rPr>
          <w:rFonts w:ascii="Arial" w:hAnsi="Arial" w:cs="Arial"/>
          <w:sz w:val="24"/>
          <w:szCs w:val="24"/>
        </w:rPr>
      </w:pPr>
      <w:r w:rsidRPr="00B119D2">
        <w:rPr>
          <w:rFonts w:ascii="Arial" w:hAnsi="Arial" w:cs="Arial"/>
          <w:sz w:val="24"/>
          <w:szCs w:val="24"/>
        </w:rPr>
        <w:t>Tutorias</w:t>
      </w:r>
      <w:r w:rsidR="00B119D2" w:rsidRPr="00B119D2">
        <w:rPr>
          <w:rFonts w:ascii="Arial" w:hAnsi="Arial" w:cs="Arial"/>
          <w:sz w:val="24"/>
          <w:szCs w:val="24"/>
        </w:rPr>
        <w:t xml:space="preserve"> de idiomas e </w:t>
      </w:r>
      <w:r w:rsidRPr="00B119D2">
        <w:rPr>
          <w:rFonts w:ascii="Arial" w:hAnsi="Arial" w:cs="Arial"/>
          <w:sz w:val="24"/>
          <w:szCs w:val="24"/>
        </w:rPr>
        <w:t>Informática</w:t>
      </w:r>
    </w:p>
    <w:p w14:paraId="02F98E76" w14:textId="4400F217" w:rsidR="00B119D2" w:rsidRPr="00B119D2" w:rsidRDefault="005A0E37" w:rsidP="007B7DFF">
      <w:pPr>
        <w:spacing w:line="360" w:lineRule="auto"/>
        <w:jc w:val="both"/>
        <w:rPr>
          <w:rFonts w:ascii="Arial" w:hAnsi="Arial" w:cs="Arial"/>
          <w:sz w:val="24"/>
          <w:szCs w:val="24"/>
        </w:rPr>
      </w:pPr>
      <w:r w:rsidRPr="00B119D2">
        <w:rPr>
          <w:rFonts w:ascii="Arial" w:hAnsi="Arial" w:cs="Arial"/>
          <w:sz w:val="24"/>
          <w:szCs w:val="24"/>
        </w:rPr>
        <w:t>Tutoría</w:t>
      </w:r>
      <w:r w:rsidR="00B119D2" w:rsidRPr="00B119D2">
        <w:rPr>
          <w:rFonts w:ascii="Arial" w:hAnsi="Arial" w:cs="Arial"/>
          <w:sz w:val="24"/>
          <w:szCs w:val="24"/>
        </w:rPr>
        <w:t xml:space="preserve"> de apoyo a becarios</w:t>
      </w:r>
    </w:p>
    <w:p w14:paraId="3ADB036F" w14:textId="77777777" w:rsidR="00B119D2" w:rsidRPr="00B119D2" w:rsidRDefault="00B119D2" w:rsidP="007B7DFF">
      <w:pPr>
        <w:spacing w:line="360" w:lineRule="auto"/>
        <w:jc w:val="both"/>
        <w:rPr>
          <w:rFonts w:ascii="Arial" w:hAnsi="Arial" w:cs="Arial"/>
          <w:sz w:val="24"/>
          <w:szCs w:val="24"/>
        </w:rPr>
      </w:pPr>
    </w:p>
    <w:p w14:paraId="7F1F8680" w14:textId="77777777" w:rsidR="00B119D2" w:rsidRPr="00B119D2" w:rsidRDefault="00B119D2" w:rsidP="007B7DFF">
      <w:pPr>
        <w:spacing w:line="360" w:lineRule="auto"/>
        <w:jc w:val="both"/>
        <w:rPr>
          <w:rFonts w:ascii="Arial" w:hAnsi="Arial" w:cs="Arial"/>
          <w:sz w:val="24"/>
          <w:szCs w:val="24"/>
        </w:rPr>
      </w:pPr>
    </w:p>
    <w:p w14:paraId="681B54A2" w14:textId="7DB4E633" w:rsidR="00B119D2" w:rsidRPr="00B119D2" w:rsidRDefault="00B119D2" w:rsidP="007B7DFF">
      <w:pPr>
        <w:spacing w:line="360" w:lineRule="auto"/>
        <w:jc w:val="both"/>
        <w:rPr>
          <w:rFonts w:ascii="Arial" w:hAnsi="Arial" w:cs="Arial"/>
          <w:sz w:val="24"/>
          <w:szCs w:val="24"/>
        </w:rPr>
      </w:pPr>
    </w:p>
    <w:p w14:paraId="7B8AB04D"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La finalidad de la Red es promover la cooperación en temas de gran importancia para un proyecto educativo argentino que abarca temas como la gestión y planeamiento interinstitucional; docencia de grado y posgrado; investigación; vinculación tecnológica; extensión; cooperación internacional y desarrollo local".</w:t>
      </w:r>
    </w:p>
    <w:p w14:paraId="129A77EE"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 </w:t>
      </w:r>
    </w:p>
    <w:p w14:paraId="4AF7A5F9"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Entre los puntos que destacarán a esta alianza están:</w:t>
      </w:r>
    </w:p>
    <w:p w14:paraId="19A72A5C"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La articulación de la oferta académica.</w:t>
      </w:r>
    </w:p>
    <w:p w14:paraId="3D10CA4A"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La reflexión sobre los cursos de ingreso.</w:t>
      </w:r>
    </w:p>
    <w:p w14:paraId="482D3B92"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lastRenderedPageBreak/>
        <w:t>El diseño de políticas conjuntas en materia de cooperación, ciencia y técnica e investigación.</w:t>
      </w:r>
    </w:p>
    <w:p w14:paraId="0A531CD8"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 </w:t>
      </w:r>
    </w:p>
    <w:p w14:paraId="318644EA" w14:textId="77777777" w:rsidR="00B119D2" w:rsidRPr="00B119D2" w:rsidRDefault="00B119D2" w:rsidP="007B7DFF">
      <w:pPr>
        <w:spacing w:line="360" w:lineRule="auto"/>
        <w:jc w:val="both"/>
        <w:rPr>
          <w:rFonts w:ascii="Arial" w:hAnsi="Arial" w:cs="Arial"/>
          <w:sz w:val="24"/>
          <w:szCs w:val="24"/>
        </w:rPr>
      </w:pPr>
    </w:p>
    <w:p w14:paraId="070E9290" w14:textId="77777777" w:rsidR="00B119D2" w:rsidRPr="00B119D2" w:rsidRDefault="00B119D2" w:rsidP="007B7DFF">
      <w:pPr>
        <w:spacing w:line="360" w:lineRule="auto"/>
        <w:jc w:val="both"/>
        <w:rPr>
          <w:rFonts w:ascii="Arial" w:hAnsi="Arial" w:cs="Arial"/>
          <w:sz w:val="24"/>
          <w:szCs w:val="24"/>
        </w:rPr>
      </w:pPr>
    </w:p>
    <w:p w14:paraId="551951B6" w14:textId="77777777" w:rsidR="00B119D2" w:rsidRPr="00B119D2" w:rsidRDefault="00B119D2" w:rsidP="007B7DFF">
      <w:pPr>
        <w:spacing w:line="360" w:lineRule="auto"/>
        <w:jc w:val="both"/>
        <w:rPr>
          <w:rFonts w:ascii="Arial" w:hAnsi="Arial" w:cs="Arial"/>
          <w:sz w:val="24"/>
          <w:szCs w:val="24"/>
        </w:rPr>
      </w:pPr>
    </w:p>
    <w:p w14:paraId="4760A42F" w14:textId="77777777" w:rsidR="00B119D2" w:rsidRPr="00B119D2" w:rsidRDefault="00B119D2" w:rsidP="007B7DFF">
      <w:pPr>
        <w:spacing w:line="360" w:lineRule="auto"/>
        <w:jc w:val="both"/>
        <w:rPr>
          <w:rFonts w:ascii="Arial" w:hAnsi="Arial" w:cs="Arial"/>
          <w:sz w:val="24"/>
          <w:szCs w:val="24"/>
        </w:rPr>
      </w:pPr>
    </w:p>
    <w:p w14:paraId="61877C95"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3. DESCRIPCION PARTICULAR</w:t>
      </w:r>
    </w:p>
    <w:p w14:paraId="25C35458"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 </w:t>
      </w:r>
    </w:p>
    <w:p w14:paraId="5187833E"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3.2 -Entrevistas. </w:t>
      </w:r>
    </w:p>
    <w:p w14:paraId="56C2C21B" w14:textId="77777777" w:rsidR="00B119D2" w:rsidRPr="00B119D2" w:rsidRDefault="00B119D2" w:rsidP="007B7DFF">
      <w:pPr>
        <w:spacing w:line="360" w:lineRule="auto"/>
        <w:jc w:val="both"/>
        <w:rPr>
          <w:rFonts w:ascii="Arial" w:hAnsi="Arial" w:cs="Arial"/>
          <w:sz w:val="24"/>
          <w:szCs w:val="24"/>
        </w:rPr>
      </w:pPr>
    </w:p>
    <w:p w14:paraId="089D64D2"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xml:space="preserve">4. CONCLUSIÓN/ES. </w:t>
      </w:r>
    </w:p>
    <w:p w14:paraId="19318C0E" w14:textId="77777777" w:rsidR="00B119D2" w:rsidRPr="00B119D2" w:rsidRDefault="00B119D2" w:rsidP="007B7DFF">
      <w:pPr>
        <w:spacing w:line="360" w:lineRule="auto"/>
        <w:jc w:val="both"/>
        <w:rPr>
          <w:rFonts w:ascii="Arial" w:hAnsi="Arial" w:cs="Arial"/>
          <w:sz w:val="24"/>
          <w:szCs w:val="24"/>
        </w:rPr>
      </w:pPr>
    </w:p>
    <w:p w14:paraId="1CD6BEAB"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4.</w:t>
      </w:r>
      <w:r w:rsidRPr="00B119D2">
        <w:rPr>
          <w:rFonts w:ascii="Arial" w:hAnsi="Arial" w:cs="Arial"/>
          <w:sz w:val="24"/>
          <w:szCs w:val="24"/>
        </w:rPr>
        <w:tab/>
        <w:t>REFERENCIAS BIBLIOGRAFICAS.</w:t>
      </w:r>
    </w:p>
    <w:p w14:paraId="755D67D5" w14:textId="77777777" w:rsidR="00B119D2" w:rsidRPr="00B119D2" w:rsidRDefault="00B119D2" w:rsidP="007B7DFF">
      <w:pPr>
        <w:spacing w:line="360" w:lineRule="auto"/>
        <w:jc w:val="both"/>
        <w:rPr>
          <w:rFonts w:ascii="Arial" w:hAnsi="Arial" w:cs="Arial"/>
          <w:sz w:val="24"/>
          <w:szCs w:val="24"/>
        </w:rPr>
      </w:pPr>
    </w:p>
    <w:p w14:paraId="1B653BAF"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Watts AG &amp; Van Esbroeck (1998) New Skills for New Futures. Higher Education Guidance and Counselling Services in the European Union. VUB Press Brussels 22, 173-187.</w:t>
      </w:r>
    </w:p>
    <w:p w14:paraId="15AF723B"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Cuadernos de Integración Europea #2 - Septiembre 2005 - páginas 69-95</w:t>
      </w:r>
    </w:p>
    <w:p w14:paraId="06BE0A1E"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http://www.cuadernosie.info</w:t>
      </w:r>
    </w:p>
    <w:p w14:paraId="4396DBB8"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Integración del estudiante</w:t>
      </w:r>
    </w:p>
    <w:p w14:paraId="0D77EBE0"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en el sistema universitario</w:t>
      </w:r>
    </w:p>
    <w:p w14:paraId="4CA0B589"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La tutoría</w:t>
      </w:r>
    </w:p>
    <w:p w14:paraId="4C611559"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 Rafael Sanz Oro</w:t>
      </w:r>
    </w:p>
    <w:p w14:paraId="437CC33C"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t>Profesor Titular de Universidad</w:t>
      </w:r>
    </w:p>
    <w:p w14:paraId="245AAEB6" w14:textId="77777777" w:rsidR="00B119D2" w:rsidRPr="00B119D2" w:rsidRDefault="00B119D2" w:rsidP="007B7DFF">
      <w:pPr>
        <w:spacing w:line="360" w:lineRule="auto"/>
        <w:jc w:val="both"/>
        <w:rPr>
          <w:rFonts w:ascii="Arial" w:hAnsi="Arial" w:cs="Arial"/>
          <w:sz w:val="24"/>
          <w:szCs w:val="24"/>
        </w:rPr>
      </w:pPr>
      <w:r w:rsidRPr="00B119D2">
        <w:rPr>
          <w:rFonts w:ascii="Arial" w:hAnsi="Arial" w:cs="Arial"/>
          <w:sz w:val="24"/>
          <w:szCs w:val="24"/>
        </w:rPr>
        <w:lastRenderedPageBreak/>
        <w:t>Universidad de Granada</w:t>
      </w:r>
    </w:p>
    <w:p w14:paraId="45ED54C2" w14:textId="77777777" w:rsidR="00B119D2" w:rsidRPr="00B119D2" w:rsidRDefault="00B119D2" w:rsidP="007B7DFF">
      <w:pPr>
        <w:spacing w:line="360" w:lineRule="auto"/>
        <w:jc w:val="both"/>
        <w:rPr>
          <w:rFonts w:ascii="Arial" w:hAnsi="Arial" w:cs="Arial"/>
          <w:sz w:val="24"/>
          <w:szCs w:val="24"/>
        </w:rPr>
      </w:pPr>
    </w:p>
    <w:p w14:paraId="3CD96BBF" w14:textId="77777777" w:rsidR="00B119D2" w:rsidRPr="00B119D2" w:rsidRDefault="00B119D2" w:rsidP="007B7DFF">
      <w:pPr>
        <w:spacing w:line="360" w:lineRule="auto"/>
        <w:jc w:val="both"/>
        <w:rPr>
          <w:rFonts w:ascii="Arial" w:hAnsi="Arial" w:cs="Arial"/>
          <w:sz w:val="24"/>
          <w:szCs w:val="24"/>
        </w:rPr>
      </w:pPr>
    </w:p>
    <w:p w14:paraId="7C074CFC" w14:textId="77777777" w:rsidR="00B119D2" w:rsidRPr="00B119D2" w:rsidRDefault="00B119D2" w:rsidP="007B7DFF">
      <w:pPr>
        <w:spacing w:line="360" w:lineRule="auto"/>
        <w:jc w:val="both"/>
        <w:rPr>
          <w:rFonts w:ascii="Arial" w:hAnsi="Arial" w:cs="Arial"/>
          <w:sz w:val="24"/>
          <w:szCs w:val="24"/>
        </w:rPr>
      </w:pPr>
    </w:p>
    <w:p w14:paraId="7BBF98CF" w14:textId="77777777" w:rsidR="00B119D2" w:rsidRPr="00B119D2" w:rsidRDefault="00B119D2" w:rsidP="007B7DFF">
      <w:pPr>
        <w:spacing w:line="360" w:lineRule="auto"/>
        <w:jc w:val="both"/>
        <w:rPr>
          <w:rFonts w:ascii="Arial" w:hAnsi="Arial" w:cs="Arial"/>
          <w:sz w:val="24"/>
          <w:szCs w:val="24"/>
        </w:rPr>
      </w:pPr>
    </w:p>
    <w:p w14:paraId="00564652" w14:textId="77777777" w:rsidR="00B119D2" w:rsidRPr="00B119D2" w:rsidRDefault="00B119D2" w:rsidP="007B7DFF">
      <w:pPr>
        <w:spacing w:line="360" w:lineRule="auto"/>
        <w:jc w:val="both"/>
        <w:rPr>
          <w:rFonts w:ascii="Arial" w:hAnsi="Arial" w:cs="Arial"/>
          <w:sz w:val="24"/>
          <w:szCs w:val="24"/>
        </w:rPr>
      </w:pPr>
    </w:p>
    <w:p w14:paraId="08D47ADB" w14:textId="77777777" w:rsidR="00B119D2" w:rsidRPr="00B119D2" w:rsidRDefault="00B119D2" w:rsidP="007B7DFF">
      <w:pPr>
        <w:spacing w:line="360" w:lineRule="auto"/>
        <w:jc w:val="both"/>
        <w:rPr>
          <w:rFonts w:ascii="Arial" w:hAnsi="Arial" w:cs="Arial"/>
          <w:sz w:val="24"/>
          <w:szCs w:val="24"/>
        </w:rPr>
      </w:pPr>
    </w:p>
    <w:p w14:paraId="5A79C67A" w14:textId="77777777" w:rsidR="00B119D2" w:rsidRPr="00B119D2" w:rsidRDefault="00B119D2" w:rsidP="007B7DFF">
      <w:pPr>
        <w:spacing w:line="360" w:lineRule="auto"/>
        <w:jc w:val="both"/>
        <w:rPr>
          <w:rFonts w:ascii="Arial" w:hAnsi="Arial" w:cs="Arial"/>
          <w:sz w:val="24"/>
          <w:szCs w:val="24"/>
        </w:rPr>
      </w:pPr>
    </w:p>
    <w:sectPr w:rsidR="00B119D2" w:rsidRPr="00B119D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0489B" w14:textId="77777777" w:rsidR="0077519E" w:rsidRDefault="0077519E" w:rsidP="00907089">
      <w:pPr>
        <w:spacing w:after="0" w:line="240" w:lineRule="auto"/>
      </w:pPr>
      <w:r>
        <w:separator/>
      </w:r>
    </w:p>
  </w:endnote>
  <w:endnote w:type="continuationSeparator" w:id="0">
    <w:p w14:paraId="2A14F10C" w14:textId="77777777" w:rsidR="0077519E" w:rsidRDefault="0077519E" w:rsidP="00907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83668" w14:textId="77777777" w:rsidR="0077519E" w:rsidRDefault="0077519E" w:rsidP="00907089">
      <w:pPr>
        <w:spacing w:after="0" w:line="240" w:lineRule="auto"/>
      </w:pPr>
      <w:r>
        <w:separator/>
      </w:r>
    </w:p>
  </w:footnote>
  <w:footnote w:type="continuationSeparator" w:id="0">
    <w:p w14:paraId="61179CCF" w14:textId="77777777" w:rsidR="0077519E" w:rsidRDefault="0077519E" w:rsidP="0090708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9D2"/>
    <w:rsid w:val="00007A4E"/>
    <w:rsid w:val="00057471"/>
    <w:rsid w:val="000F5F21"/>
    <w:rsid w:val="00167FBB"/>
    <w:rsid w:val="002772CE"/>
    <w:rsid w:val="0030082B"/>
    <w:rsid w:val="00317961"/>
    <w:rsid w:val="00405E00"/>
    <w:rsid w:val="005A0E37"/>
    <w:rsid w:val="00697CD3"/>
    <w:rsid w:val="00737E76"/>
    <w:rsid w:val="007453AD"/>
    <w:rsid w:val="0077519E"/>
    <w:rsid w:val="007B7DFF"/>
    <w:rsid w:val="00877260"/>
    <w:rsid w:val="00907089"/>
    <w:rsid w:val="009D7BD3"/>
    <w:rsid w:val="00B119D2"/>
    <w:rsid w:val="00BB0EFD"/>
    <w:rsid w:val="00BB75CF"/>
    <w:rsid w:val="00C57945"/>
    <w:rsid w:val="00C971D8"/>
    <w:rsid w:val="00CD03B6"/>
    <w:rsid w:val="00EF3BB9"/>
    <w:rsid w:val="00EF752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922CA"/>
  <w15:chartTrackingRefBased/>
  <w15:docId w15:val="{76DDEF70-7D7A-40CE-A8FB-F7F05EEC3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119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119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119D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119D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119D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119D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119D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119D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119D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119D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119D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119D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119D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119D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119D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119D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119D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119D2"/>
    <w:rPr>
      <w:rFonts w:eastAsiaTheme="majorEastAsia" w:cstheme="majorBidi"/>
      <w:color w:val="272727" w:themeColor="text1" w:themeTint="D8"/>
    </w:rPr>
  </w:style>
  <w:style w:type="paragraph" w:styleId="Ttulo">
    <w:name w:val="Title"/>
    <w:basedOn w:val="Normal"/>
    <w:next w:val="Normal"/>
    <w:link w:val="TtuloCar"/>
    <w:uiPriority w:val="10"/>
    <w:qFormat/>
    <w:rsid w:val="00B119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119D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119D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119D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119D2"/>
    <w:pPr>
      <w:spacing w:before="160"/>
      <w:jc w:val="center"/>
    </w:pPr>
    <w:rPr>
      <w:i/>
      <w:iCs/>
      <w:color w:val="404040" w:themeColor="text1" w:themeTint="BF"/>
    </w:rPr>
  </w:style>
  <w:style w:type="character" w:customStyle="1" w:styleId="CitaCar">
    <w:name w:val="Cita Car"/>
    <w:basedOn w:val="Fuentedeprrafopredeter"/>
    <w:link w:val="Cita"/>
    <w:uiPriority w:val="29"/>
    <w:rsid w:val="00B119D2"/>
    <w:rPr>
      <w:i/>
      <w:iCs/>
      <w:color w:val="404040" w:themeColor="text1" w:themeTint="BF"/>
    </w:rPr>
  </w:style>
  <w:style w:type="paragraph" w:styleId="Prrafodelista">
    <w:name w:val="List Paragraph"/>
    <w:basedOn w:val="Normal"/>
    <w:uiPriority w:val="34"/>
    <w:qFormat/>
    <w:rsid w:val="00B119D2"/>
    <w:pPr>
      <w:ind w:left="720"/>
      <w:contextualSpacing/>
    </w:pPr>
  </w:style>
  <w:style w:type="character" w:styleId="nfasisintenso">
    <w:name w:val="Intense Emphasis"/>
    <w:basedOn w:val="Fuentedeprrafopredeter"/>
    <w:uiPriority w:val="21"/>
    <w:qFormat/>
    <w:rsid w:val="00B119D2"/>
    <w:rPr>
      <w:i/>
      <w:iCs/>
      <w:color w:val="0F4761" w:themeColor="accent1" w:themeShade="BF"/>
    </w:rPr>
  </w:style>
  <w:style w:type="paragraph" w:styleId="Citadestacada">
    <w:name w:val="Intense Quote"/>
    <w:basedOn w:val="Normal"/>
    <w:next w:val="Normal"/>
    <w:link w:val="CitadestacadaCar"/>
    <w:uiPriority w:val="30"/>
    <w:qFormat/>
    <w:rsid w:val="00B119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119D2"/>
    <w:rPr>
      <w:i/>
      <w:iCs/>
      <w:color w:val="0F4761" w:themeColor="accent1" w:themeShade="BF"/>
    </w:rPr>
  </w:style>
  <w:style w:type="character" w:styleId="Referenciaintensa">
    <w:name w:val="Intense Reference"/>
    <w:basedOn w:val="Fuentedeprrafopredeter"/>
    <w:uiPriority w:val="32"/>
    <w:qFormat/>
    <w:rsid w:val="00B119D2"/>
    <w:rPr>
      <w:b/>
      <w:bCs/>
      <w:smallCaps/>
      <w:color w:val="0F4761" w:themeColor="accent1" w:themeShade="BF"/>
      <w:spacing w:val="5"/>
    </w:rPr>
  </w:style>
  <w:style w:type="paragraph" w:styleId="Encabezado">
    <w:name w:val="header"/>
    <w:basedOn w:val="Normal"/>
    <w:link w:val="EncabezadoCar"/>
    <w:uiPriority w:val="99"/>
    <w:unhideWhenUsed/>
    <w:rsid w:val="0090708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07089"/>
  </w:style>
  <w:style w:type="paragraph" w:styleId="Piedepgina">
    <w:name w:val="footer"/>
    <w:basedOn w:val="Normal"/>
    <w:link w:val="PiedepginaCar"/>
    <w:uiPriority w:val="99"/>
    <w:unhideWhenUsed/>
    <w:rsid w:val="0090708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070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21</Pages>
  <Words>4852</Words>
  <Characters>26688</Characters>
  <Application>Microsoft Office Word</Application>
  <DocSecurity>0</DocSecurity>
  <Lines>222</Lines>
  <Paragraphs>62</Paragraphs>
  <ScaleCrop>false</ScaleCrop>
  <Company/>
  <LinksUpToDate>false</LinksUpToDate>
  <CharactersWithSpaces>31478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Pafundi</dc:creator>
  <cp:keywords/>
  <dc:description/>
  <cp:lastModifiedBy>Federico Pafundi</cp:lastModifiedBy>
  <cp:revision>21</cp:revision>
  <dcterms:created xsi:type="dcterms:W3CDTF">2026-07-21T21:12:00Z</dcterms:created>
  <dcterms:modified xsi:type="dcterms:W3CDTF">2026-07-21T21:41:00Z</dcterms:modified>
</cp:coreProperties>
</file>